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24673">
      <w:pPr>
        <w:jc w:val="center"/>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t>关于禹州市2025年6月城乡居民社会养老保险丧葬补助金</w:t>
      </w:r>
    </w:p>
    <w:p w14:paraId="7C7F2C43">
      <w:pPr>
        <w:jc w:val="center"/>
        <w:rPr>
          <w:rFonts w:hint="eastAsia" w:ascii="方正公文小标宋" w:hAnsi="方正公文小标宋" w:eastAsia="方正公文小标宋" w:cs="方正公文小标宋"/>
          <w:sz w:val="32"/>
          <w:szCs w:val="32"/>
        </w:rPr>
      </w:pPr>
      <w:bookmarkStart w:id="0" w:name="_GoBack"/>
      <w:bookmarkEnd w:id="0"/>
    </w:p>
    <w:p w14:paraId="5BBE193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河南省人力资源和社会保障厅关于印发《河南省城乡居民基本养老保险丧葬补助实施办法(暂行)》的通知(豫人社办〔2021〕107号)、许昌市人力资源和社会保障局许昌市财政局关于印发《许昌市城乡居民基本养老保险丧葬补助实施办法》的通知(许人社〔2021〕9号)和《河南省人力资源和社会保障厅关于提高城乡居民基本养老保险丧葬补助标准的通知》(豫人社办〔2022〕53号)精神，为确保城乡居民社会养老丧葬补助金按时足额发放，现申请市财政将禹州市2025年6月城乡居民社会养老保险丧葬补助金621057.93元(陆拾贰万壹仟零伍拾柒元玖角叁分)及时拨入社会养老保险财政资金专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46897022-267E-4434-A642-A897D538B04E}"/>
  </w:font>
  <w:font w:name="仿宋_GB2312">
    <w:panose1 w:val="02010609030101010101"/>
    <w:charset w:val="86"/>
    <w:family w:val="auto"/>
    <w:pitch w:val="default"/>
    <w:sig w:usb0="00000001" w:usb1="080E0000" w:usb2="00000000" w:usb3="00000000" w:csb0="00040000" w:csb1="00000000"/>
    <w:embedRegular r:id="rId2" w:fontKey="{F665DB5C-182F-413D-9A51-7D2BC6162CFB}"/>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B74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2025-07-11T07:40:12Z</dcterms:created>
  <dc:creator>Administrator</dc:creator>
  <cp:lastModifiedBy>景硕</cp:lastModifiedBy>
  <dcterms:modified xsi:type="dcterms:W3CDTF">2025-07-11T07:44:50Z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83FF5B3D1FF1428BA43711CB65FD62EF_12</vt:lpwstr>
  </property>
</Properties>
</file>