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A56360">
      <w:pPr>
        <w:pStyle w:val="5"/>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eastAsia="zh-CN"/>
        </w:rPr>
        <w:t>禹州市绿叶环保科技有限公司“</w:t>
      </w:r>
      <w:r>
        <w:rPr>
          <w:rFonts w:hint="eastAsia" w:ascii="方正小标宋简体" w:hAnsi="方正小标宋简体" w:eastAsia="方正小标宋简体" w:cs="方正小标宋简体"/>
          <w:b w:val="0"/>
          <w:bCs w:val="0"/>
          <w:sz w:val="44"/>
          <w:szCs w:val="44"/>
          <w:lang w:val="en-US" w:eastAsia="zh-CN"/>
        </w:rPr>
        <w:t>4</w:t>
      </w:r>
      <w:r>
        <w:rPr>
          <w:rFonts w:hint="eastAsia" w:ascii="黑体" w:hAnsi="黑体" w:eastAsia="黑体" w:cs="黑体"/>
          <w:b w:val="0"/>
          <w:bCs w:val="0"/>
          <w:sz w:val="44"/>
          <w:szCs w:val="44"/>
          <w:lang w:val="en-US" w:eastAsia="zh-CN"/>
        </w:rPr>
        <w:t>˙</w:t>
      </w:r>
      <w:r>
        <w:rPr>
          <w:rFonts w:hint="eastAsia" w:ascii="方正小标宋简体" w:hAnsi="方正小标宋简体" w:eastAsia="方正小标宋简体" w:cs="方正小标宋简体"/>
          <w:b w:val="0"/>
          <w:bCs w:val="0"/>
          <w:sz w:val="44"/>
          <w:szCs w:val="44"/>
          <w:lang w:val="en-US" w:eastAsia="zh-CN"/>
        </w:rPr>
        <w:t>27”</w:t>
      </w:r>
    </w:p>
    <w:p w14:paraId="2FBAA191">
      <w:pPr>
        <w:pStyle w:val="5"/>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val="en-US" w:eastAsia="zh-CN"/>
        </w:rPr>
        <w:t>一般机械伤害事故</w:t>
      </w:r>
      <w:r>
        <w:rPr>
          <w:rFonts w:hint="eastAsia" w:ascii="方正小标宋简体" w:hAnsi="方正小标宋简体" w:eastAsia="方正小标宋简体" w:cs="方正小标宋简体"/>
          <w:b w:val="0"/>
          <w:bCs w:val="0"/>
          <w:sz w:val="44"/>
          <w:szCs w:val="44"/>
          <w:lang w:eastAsia="zh-CN"/>
        </w:rPr>
        <w:t>调查</w:t>
      </w:r>
      <w:r>
        <w:rPr>
          <w:rFonts w:hint="eastAsia" w:ascii="方正小标宋简体" w:hAnsi="方正小标宋简体" w:eastAsia="方正小标宋简体" w:cs="方正小标宋简体"/>
          <w:b w:val="0"/>
          <w:bCs w:val="0"/>
          <w:sz w:val="44"/>
          <w:szCs w:val="44"/>
        </w:rPr>
        <w:t>报告</w:t>
      </w:r>
    </w:p>
    <w:p w14:paraId="124F6685">
      <w:pPr>
        <w:keepNext w:val="0"/>
        <w:keepLines w:val="0"/>
        <w:pageBreakBefore w:val="0"/>
        <w:widowControl w:val="0"/>
        <w:tabs>
          <w:tab w:val="left" w:pos="1875"/>
        </w:tabs>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b/>
          <w:sz w:val="32"/>
          <w:szCs w:val="32"/>
        </w:rPr>
      </w:pPr>
    </w:p>
    <w:p w14:paraId="56CB11FA">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left"/>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2025年4月27日8时48分许，禹州市绿叶环保科技有限公司（以下简称绿叶环保公司）</w:t>
      </w:r>
      <w:r>
        <w:rPr>
          <w:rFonts w:hint="eastAsia" w:ascii="仿宋_GB2312" w:hAnsi="仿宋_GB2312" w:eastAsia="仿宋_GB2312" w:cs="仿宋_GB2312"/>
          <w:b w:val="0"/>
          <w:i w:val="0"/>
          <w:caps w:val="0"/>
          <w:spacing w:val="0"/>
          <w:w w:val="100"/>
          <w:sz w:val="32"/>
          <w:szCs w:val="32"/>
          <w:lang w:val="en-US" w:eastAsia="zh-CN"/>
        </w:rPr>
        <w:t>发生一起一般机械伤害事故，造成1人死亡，直接经</w:t>
      </w:r>
      <w:r>
        <w:rPr>
          <w:rFonts w:hint="eastAsia" w:ascii="仿宋_GB2312" w:hAnsi="仿宋_GB2312" w:eastAsia="仿宋_GB2312" w:cs="仿宋_GB2312"/>
          <w:kern w:val="0"/>
          <w:sz w:val="32"/>
          <w:szCs w:val="32"/>
          <w:lang w:val="en-US" w:eastAsia="zh-CN" w:bidi="ar-SA"/>
        </w:rPr>
        <w:t>济损失110万元。</w:t>
      </w:r>
    </w:p>
    <w:p w14:paraId="35913FA5">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left"/>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根据《中华人民共和国安全生产法》、《生产安全事故报告和调查处理条例》（国务院令第493号）和《河南省生产安全事故报告和调查处理规定》（河南省人民政府令第143号）等有关规定，禹州市人民政府成立了由市应急管理局牵头，市公安局、市总工会等为成员单位参加的禹州市绿叶环保科技有限公司“</w:t>
      </w:r>
      <w:r>
        <w:rPr>
          <w:rFonts w:hint="eastAsia" w:ascii="仿宋_GB2312" w:hAnsi="仿宋_GB2312" w:eastAsia="仿宋_GB2312" w:cs="仿宋_GB2312"/>
          <w:b w:val="0"/>
          <w:bCs w:val="0"/>
          <w:kern w:val="2"/>
          <w:sz w:val="32"/>
          <w:szCs w:val="32"/>
          <w:lang w:val="en-US" w:eastAsia="zh-CN" w:bidi="ar-SA"/>
        </w:rPr>
        <w:t>4·27</w:t>
      </w:r>
      <w:r>
        <w:rPr>
          <w:rFonts w:hint="eastAsia" w:ascii="仿宋_GB2312" w:hAnsi="仿宋_GB2312" w:eastAsia="仿宋_GB2312" w:cs="仿宋_GB2312"/>
          <w:kern w:val="0"/>
          <w:sz w:val="32"/>
          <w:szCs w:val="32"/>
          <w:lang w:val="en-US" w:eastAsia="zh-CN" w:bidi="ar-SA"/>
        </w:rPr>
        <w:t>”机械伤害事故调查组（以下简称事故调查组），</w:t>
      </w:r>
      <w:r>
        <w:rPr>
          <w:rFonts w:hint="eastAsia" w:ascii="仿宋_GB2312" w:hAnsi="仿宋_GB2312" w:eastAsia="仿宋_GB2312" w:cs="仿宋_GB2312"/>
          <w:kern w:val="0"/>
          <w:sz w:val="32"/>
          <w:szCs w:val="32"/>
          <w:u w:val="none"/>
          <w:lang w:val="en-US" w:eastAsia="zh-CN" w:bidi="ar-SA"/>
        </w:rPr>
        <w:t>禹州市纪委监委成立追责问责审查调查组参与事故调查工作</w:t>
      </w:r>
      <w:r>
        <w:rPr>
          <w:rFonts w:hint="eastAsia" w:ascii="仿宋_GB2312" w:hAnsi="仿宋_GB2312" w:eastAsia="仿宋_GB2312" w:cs="仿宋_GB2312"/>
          <w:kern w:val="0"/>
          <w:sz w:val="32"/>
          <w:szCs w:val="32"/>
          <w:lang w:val="en-US" w:eastAsia="zh-CN" w:bidi="ar-SA"/>
        </w:rPr>
        <w:t>。</w:t>
      </w:r>
    </w:p>
    <w:p w14:paraId="689B0309">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left"/>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事故调查组认真贯彻市领导</w:t>
      </w:r>
      <w:r>
        <w:rPr>
          <w:rFonts w:hint="eastAsia" w:ascii="仿宋_GB2312" w:hAnsi="仿宋_GB2312" w:eastAsia="仿宋_GB2312" w:cs="仿宋_GB2312"/>
          <w:kern w:val="0"/>
          <w:sz w:val="32"/>
          <w:szCs w:val="32"/>
          <w:u w:val="none"/>
          <w:lang w:val="en-US" w:eastAsia="zh-CN" w:bidi="ar-SA"/>
        </w:rPr>
        <w:t>有关批示、指示精神</w:t>
      </w:r>
      <w:r>
        <w:rPr>
          <w:rFonts w:hint="eastAsia" w:ascii="仿宋_GB2312" w:hAnsi="仿宋_GB2312" w:eastAsia="仿宋_GB2312" w:cs="仿宋_GB2312"/>
          <w:kern w:val="0"/>
          <w:sz w:val="32"/>
          <w:szCs w:val="32"/>
          <w:lang w:val="en-US" w:eastAsia="zh-CN" w:bidi="ar-SA"/>
        </w:rPr>
        <w:t>，按照“科学严谨、依法依规、实事求是、注重实效”和“四不放过”的原则，通过现场勘察、调查取证、查阅资料、综合研判等方式，查明了事故发生的经过、原因、人员伤亡和直接经济损失情况，认定了事故性质和责任，</w:t>
      </w:r>
      <w:r>
        <w:rPr>
          <w:rFonts w:hint="eastAsia" w:ascii="仿宋_GB2312" w:hAnsi="仿宋_GB2312" w:eastAsia="仿宋_GB2312" w:cs="仿宋_GB2312"/>
          <w:kern w:val="0"/>
          <w:sz w:val="32"/>
          <w:szCs w:val="32"/>
          <w:u w:val="none"/>
          <w:lang w:val="en-US" w:eastAsia="zh-CN" w:bidi="ar-SA"/>
        </w:rPr>
        <w:t>查清了事故单位及地方政府在监管方面存在的问题，</w:t>
      </w:r>
      <w:r>
        <w:rPr>
          <w:rFonts w:hint="eastAsia" w:ascii="仿宋_GB2312" w:hAnsi="仿宋_GB2312" w:eastAsia="仿宋_GB2312" w:cs="仿宋_GB2312"/>
          <w:kern w:val="0"/>
          <w:sz w:val="32"/>
          <w:szCs w:val="32"/>
          <w:lang w:val="en-US" w:eastAsia="zh-CN" w:bidi="ar-SA"/>
        </w:rPr>
        <w:t>提出了对事故单位和责任人员的处理建议，分析了事故原因及暴露出的问题，并针对事故原因及暴露出的突出问题，提出了事故防范措施建议。</w:t>
      </w:r>
    </w:p>
    <w:p w14:paraId="496645EA">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b w:val="0"/>
          <w:bCs w:val="0"/>
          <w:snapToGrid w:val="0"/>
          <w:kern w:val="0"/>
          <w:sz w:val="32"/>
          <w:szCs w:val="32"/>
          <w:lang w:val="en-US" w:eastAsia="zh-CN" w:bidi="ar-SA"/>
        </w:rPr>
        <w:t>经调查认定，绿叶环保公司“4·27”一般机械伤害事故是一起因现场安全管理不到位造成的生产安全责任事故。</w:t>
      </w:r>
    </w:p>
    <w:p w14:paraId="1DFAAB2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outlineLvl w:val="0"/>
        <w:rPr>
          <w:rFonts w:hint="eastAsia" w:ascii="黑体" w:hAnsi="黑体" w:eastAsia="黑体" w:cs="黑体"/>
          <w:b w:val="0"/>
          <w:bCs w:val="0"/>
          <w:sz w:val="32"/>
          <w:szCs w:val="32"/>
          <w:lang w:eastAsia="zh-CN"/>
        </w:rPr>
      </w:pPr>
      <w:bookmarkStart w:id="0" w:name="_Toc25333"/>
      <w:r>
        <w:rPr>
          <w:rFonts w:hint="eastAsia" w:ascii="黑体" w:hAnsi="黑体" w:eastAsia="黑体" w:cs="黑体"/>
          <w:b w:val="0"/>
          <w:bCs w:val="0"/>
          <w:sz w:val="32"/>
          <w:szCs w:val="32"/>
          <w:lang w:val="en-US" w:eastAsia="zh-CN"/>
        </w:rPr>
        <w:t>一、事故</w:t>
      </w:r>
      <w:r>
        <w:rPr>
          <w:rFonts w:hint="eastAsia" w:ascii="黑体" w:hAnsi="黑体" w:eastAsia="黑体" w:cs="黑体"/>
          <w:b w:val="0"/>
          <w:bCs w:val="0"/>
          <w:color w:val="000000"/>
          <w:sz w:val="32"/>
          <w:szCs w:val="32"/>
          <w:lang w:val="en-US" w:eastAsia="zh-CN"/>
        </w:rPr>
        <w:t>单位</w:t>
      </w:r>
      <w:r>
        <w:rPr>
          <w:rFonts w:hint="eastAsia" w:ascii="黑体" w:hAnsi="黑体" w:eastAsia="黑体" w:cs="黑体"/>
          <w:b w:val="0"/>
          <w:bCs w:val="0"/>
          <w:sz w:val="32"/>
          <w:szCs w:val="32"/>
          <w:lang w:eastAsia="zh-CN"/>
        </w:rPr>
        <w:t>基本情况</w:t>
      </w:r>
      <w:bookmarkEnd w:id="0"/>
    </w:p>
    <w:p w14:paraId="04C0C226">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left"/>
        <w:textAlignment w:val="auto"/>
        <w:outlineLvl w:val="1"/>
        <w:rPr>
          <w:rFonts w:hint="eastAsia" w:ascii="楷体_GB2312" w:hAnsi="楷体_GB2312" w:eastAsia="楷体_GB2312" w:cs="楷体_GB2312"/>
          <w:b w:val="0"/>
          <w:bCs w:val="0"/>
          <w:strike w:val="0"/>
          <w:dstrike w:val="0"/>
          <w:sz w:val="32"/>
          <w:szCs w:val="32"/>
          <w:lang w:eastAsia="zh-CN"/>
        </w:rPr>
      </w:pPr>
      <w:bookmarkStart w:id="1" w:name="_Toc11522"/>
      <w:bookmarkStart w:id="2" w:name="_Toc16614"/>
      <w:r>
        <w:rPr>
          <w:rFonts w:hint="eastAsia" w:ascii="楷体_GB2312" w:hAnsi="楷体_GB2312" w:eastAsia="楷体_GB2312" w:cs="楷体_GB2312"/>
          <w:b w:val="0"/>
          <w:bCs w:val="0"/>
          <w:strike w:val="0"/>
          <w:dstrike w:val="0"/>
          <w:sz w:val="32"/>
          <w:szCs w:val="32"/>
          <w:lang w:eastAsia="zh-CN"/>
        </w:rPr>
        <w:t>（一）事故单位概况</w:t>
      </w:r>
      <w:bookmarkEnd w:id="1"/>
      <w:bookmarkEnd w:id="2"/>
    </w:p>
    <w:p w14:paraId="2C3D617E">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6" w:firstLineChars="200"/>
        <w:jc w:val="left"/>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w w:val="101"/>
          <w:kern w:val="0"/>
          <w:sz w:val="32"/>
          <w:szCs w:val="32"/>
          <w:lang w:val="en-US" w:eastAsia="zh-CN" w:bidi="ar-SA"/>
        </w:rPr>
        <w:t>绿叶环保公司位于禹州市火龙镇东汪楼村，占地面积4620平方米</w:t>
      </w:r>
      <w:r>
        <w:rPr>
          <w:rFonts w:hint="eastAsia" w:ascii="仿宋_GB2312" w:hAnsi="仿宋_GB2312" w:eastAsia="仿宋_GB2312" w:cs="仿宋_GB2312"/>
          <w:kern w:val="0"/>
          <w:sz w:val="32"/>
          <w:szCs w:val="32"/>
          <w:lang w:val="en-US" w:eastAsia="zh-CN" w:bidi="ar-SA"/>
        </w:rPr>
        <w:t>，2017年7月26日成立，注册资金1000万元，法定代表人卢红波，主要经营建筑材料销售、水泥制品制造、非金属矿及制品销售等，从业人员7人。</w:t>
      </w:r>
    </w:p>
    <w:p w14:paraId="115AB0C0">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left"/>
        <w:textAlignment w:val="auto"/>
        <w:outlineLvl w:val="1"/>
        <w:rPr>
          <w:rFonts w:hint="eastAsia" w:ascii="楷体_GB2312" w:hAnsi="楷体_GB2312" w:eastAsia="楷体_GB2312" w:cs="楷体_GB2312"/>
          <w:b w:val="0"/>
          <w:bCs w:val="0"/>
          <w:color w:val="auto"/>
          <w:sz w:val="32"/>
          <w:szCs w:val="32"/>
          <w:lang w:val="en-US" w:eastAsia="zh-CN"/>
        </w:rPr>
      </w:pPr>
      <w:bookmarkStart w:id="3" w:name="_Toc612"/>
      <w:bookmarkStart w:id="4" w:name="_Toc25052"/>
      <w:r>
        <w:rPr>
          <w:rFonts w:hint="eastAsia" w:ascii="楷体_GB2312" w:hAnsi="楷体_GB2312" w:eastAsia="楷体_GB2312" w:cs="楷体_GB2312"/>
          <w:b w:val="0"/>
          <w:bCs w:val="0"/>
          <w:sz w:val="32"/>
          <w:szCs w:val="32"/>
          <w:lang w:val="en-US" w:eastAsia="zh-CN"/>
        </w:rPr>
        <w:t>（二）事故发生单位</w:t>
      </w:r>
      <w:r>
        <w:rPr>
          <w:rFonts w:hint="eastAsia" w:ascii="楷体_GB2312" w:hAnsi="楷体_GB2312" w:eastAsia="楷体_GB2312" w:cs="楷体_GB2312"/>
          <w:b w:val="0"/>
          <w:bCs w:val="0"/>
          <w:color w:val="auto"/>
          <w:sz w:val="32"/>
          <w:szCs w:val="32"/>
          <w:lang w:val="en-US" w:eastAsia="zh-CN"/>
        </w:rPr>
        <w:t>现场作业情况</w:t>
      </w:r>
      <w:bookmarkEnd w:id="3"/>
      <w:bookmarkEnd w:id="4"/>
    </w:p>
    <w:p w14:paraId="67ABBC3A">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工艺流程：石子、沙经皮带输送机输送至搅拌机，水泥通过搅拌机上部的水泥管道输送至搅拌机内，按照既定生产配比标准，加水进行搅拌制成混凝土。混凝土通过搅拌机下方出料口流入锥形料斗，随后使用叉车将锥形料斗运送至模具处，由操作人员开启料斗阀门，将混凝土倒入模具内，最后通过震动棒振动、抹面及静置等工序成型。</w:t>
      </w:r>
    </w:p>
    <w:p w14:paraId="50FEE658">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000000"/>
          <w:kern w:val="0"/>
          <w:sz w:val="32"/>
          <w:szCs w:val="32"/>
          <w:u w:val="none"/>
          <w:lang w:val="en-US" w:eastAsia="zh-CN" w:bidi="ar"/>
        </w:rPr>
      </w:pPr>
      <w:r>
        <w:rPr>
          <w:rFonts w:hint="eastAsia" w:ascii="仿宋_GB2312" w:hAnsi="仿宋_GB2312" w:eastAsia="仿宋_GB2312" w:cs="仿宋_GB2312"/>
          <w:color w:val="000000"/>
          <w:kern w:val="0"/>
          <w:sz w:val="32"/>
          <w:szCs w:val="32"/>
          <w:u w:val="none"/>
          <w:lang w:val="en-US" w:eastAsia="zh-CN" w:bidi="ar"/>
        </w:rPr>
        <w:t>发生事故的设备为双轴搅拌机，位于公司院内中部偏北位置。该搅拌机长1.58米、宽1.45米、高1.4米，上部为进料口，底部为出料口。搅拌机固定于由八根槽钢制成的支架上，支架距地面高度为1.75米，在支架东南角设有与地面相连的爬梯。搅拌机操作台设置在搅拌机东侧8.15米处。</w:t>
      </w:r>
    </w:p>
    <w:p w14:paraId="7F48B339">
      <w:pPr>
        <w:keepNext w:val="0"/>
        <w:keepLines w:val="0"/>
        <w:pageBreakBefore w:val="0"/>
        <w:widowControl w:val="0"/>
        <w:numPr>
          <w:ilvl w:val="0"/>
          <w:numId w:val="0"/>
        </w:numPr>
        <w:tabs>
          <w:tab w:val="right" w:pos="9369"/>
        </w:tabs>
        <w:kinsoku/>
        <w:wordWrap/>
        <w:overflowPunct/>
        <w:topLinePunct w:val="0"/>
        <w:autoSpaceDE/>
        <w:autoSpaceDN/>
        <w:bidi w:val="0"/>
        <w:adjustRightInd/>
        <w:snapToGrid/>
        <w:spacing w:line="560" w:lineRule="exact"/>
        <w:ind w:left="0" w:leftChars="0" w:firstLine="640" w:firstLineChars="200"/>
        <w:jc w:val="left"/>
        <w:textAlignment w:val="auto"/>
        <w:outlineLvl w:val="0"/>
        <w:rPr>
          <w:rFonts w:hint="eastAsia" w:ascii="黑体" w:hAnsi="黑体" w:eastAsia="黑体" w:cs="黑体"/>
          <w:b w:val="0"/>
          <w:bCs w:val="0"/>
          <w:i w:val="0"/>
          <w:caps w:val="0"/>
          <w:spacing w:val="0"/>
          <w:w w:val="100"/>
          <w:sz w:val="32"/>
          <w:szCs w:val="32"/>
          <w:lang w:val="en-US" w:eastAsia="zh-CN"/>
        </w:rPr>
      </w:pPr>
      <w:bookmarkStart w:id="5" w:name="_Toc18044"/>
      <w:bookmarkStart w:id="6" w:name="_Toc16950"/>
      <w:r>
        <w:rPr>
          <w:rFonts w:hint="eastAsia" w:ascii="黑体" w:hAnsi="黑体" w:eastAsia="黑体" w:cs="黑体"/>
          <w:b w:val="0"/>
          <w:bCs w:val="0"/>
          <w:i w:val="0"/>
          <w:caps w:val="0"/>
          <w:spacing w:val="0"/>
          <w:w w:val="100"/>
          <w:sz w:val="32"/>
          <w:szCs w:val="32"/>
          <w:lang w:val="en-US" w:eastAsia="zh-CN"/>
        </w:rPr>
        <w:t>二、事故发生经过和抢险救援、善后处理及应急处置评估情况</w:t>
      </w:r>
      <w:bookmarkEnd w:id="5"/>
      <w:bookmarkEnd w:id="6"/>
    </w:p>
    <w:p w14:paraId="0EDE9537">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left"/>
        <w:textAlignment w:val="auto"/>
        <w:outlineLvl w:val="1"/>
        <w:rPr>
          <w:rFonts w:hint="eastAsia" w:ascii="楷体_GB2312" w:hAnsi="楷体_GB2312" w:eastAsia="楷体_GB2312" w:cs="楷体_GB2312"/>
          <w:lang w:val="en-US" w:eastAsia="zh-CN"/>
        </w:rPr>
      </w:pPr>
      <w:bookmarkStart w:id="7" w:name="_Toc31113"/>
      <w:bookmarkStart w:id="8" w:name="_Toc6791"/>
      <w:r>
        <w:rPr>
          <w:rFonts w:hint="eastAsia" w:ascii="楷体_GB2312" w:hAnsi="楷体_GB2312" w:eastAsia="楷体_GB2312" w:cs="楷体_GB2312"/>
          <w:sz w:val="32"/>
          <w:szCs w:val="40"/>
          <w:lang w:val="en-US" w:eastAsia="zh-CN"/>
        </w:rPr>
        <w:t>（一）</w:t>
      </w:r>
      <w:r>
        <w:rPr>
          <w:rFonts w:hint="eastAsia" w:ascii="楷体_GB2312" w:hAnsi="楷体_GB2312" w:eastAsia="楷体_GB2312" w:cs="楷体_GB2312"/>
          <w:b w:val="0"/>
          <w:bCs w:val="0"/>
          <w:i w:val="0"/>
          <w:caps w:val="0"/>
          <w:spacing w:val="0"/>
          <w:w w:val="100"/>
          <w:sz w:val="32"/>
          <w:szCs w:val="32"/>
          <w:lang w:val="en-US" w:eastAsia="zh-CN"/>
        </w:rPr>
        <w:t>事故发生经过和抢险救援情况</w:t>
      </w:r>
      <w:bookmarkEnd w:id="7"/>
      <w:bookmarkEnd w:id="8"/>
    </w:p>
    <w:p w14:paraId="4DDABE69">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通过询问相关人员</w:t>
      </w:r>
      <w:r>
        <w:rPr>
          <w:rFonts w:hint="eastAsia" w:ascii="仿宋_GB2312" w:hAnsi="仿宋_GB2312" w:eastAsia="仿宋_GB2312" w:cs="仿宋_GB2312"/>
          <w:color w:val="auto"/>
          <w:kern w:val="0"/>
          <w:sz w:val="32"/>
          <w:szCs w:val="32"/>
          <w:lang w:val="en-US" w:eastAsia="zh-CN" w:bidi="ar"/>
        </w:rPr>
        <w:t>、调取事发时的视频资料和综合分析研判，事故发生的经过是</w:t>
      </w:r>
      <w:r>
        <w:rPr>
          <w:rFonts w:hint="eastAsia" w:ascii="仿宋_GB2312" w:hAnsi="仿宋_GB2312" w:eastAsia="仿宋_GB2312" w:cs="仿宋_GB2312"/>
          <w:color w:val="000000"/>
          <w:kern w:val="0"/>
          <w:sz w:val="32"/>
          <w:szCs w:val="32"/>
          <w:lang w:val="en-US" w:eastAsia="zh-CN" w:bidi="ar"/>
        </w:rPr>
        <w:t>：2025年4月27日8时30分许，公司雇佣王俊伟于搅拌机南侧</w:t>
      </w:r>
      <w:r>
        <w:rPr>
          <w:rFonts w:hint="eastAsia" w:ascii="仿宋_GB2312" w:hAnsi="仿宋_GB2312" w:eastAsia="仿宋_GB2312" w:cs="仿宋_GB2312"/>
          <w:color w:val="auto"/>
          <w:kern w:val="0"/>
          <w:sz w:val="32"/>
          <w:szCs w:val="32"/>
          <w:lang w:val="en-US" w:eastAsia="zh-CN" w:bidi="ar"/>
        </w:rPr>
        <w:t>对底部出料</w:t>
      </w:r>
      <w:r>
        <w:rPr>
          <w:rFonts w:hint="eastAsia" w:ascii="仿宋_GB2312" w:hAnsi="仿宋_GB2312" w:eastAsia="仿宋_GB2312" w:cs="仿宋_GB2312"/>
          <w:color w:val="000000"/>
          <w:kern w:val="0"/>
          <w:sz w:val="32"/>
          <w:szCs w:val="32"/>
          <w:lang w:val="en-US" w:eastAsia="zh-CN" w:bidi="ar"/>
        </w:rPr>
        <w:t>锥形料斗进行维修。</w:t>
      </w:r>
    </w:p>
    <w:p w14:paraId="2BEB44C0">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8时39分，王俊伟完成锥形料斗底部焊接作业后，离开工作现场，先前往搅拌机西侧，随后原路折返至搅拌机东侧，顺着爬梯登上搅拌机支架平台，于8时43分进入搅拌机内部（</w:t>
      </w:r>
      <w:r>
        <w:rPr>
          <w:rFonts w:hint="eastAsia" w:ascii="仿宋_GB2312" w:hAnsi="仿宋_GB2312" w:eastAsia="仿宋_GB2312" w:cs="仿宋_GB2312"/>
          <w:color w:val="auto"/>
          <w:kern w:val="0"/>
          <w:sz w:val="32"/>
          <w:szCs w:val="32"/>
          <w:lang w:val="en-US" w:eastAsia="zh-CN" w:bidi="ar"/>
        </w:rPr>
        <w:t>因王俊伟在事故中死亡，无法查证其具体进入搅拌机内部的原因</w:t>
      </w:r>
      <w:r>
        <w:rPr>
          <w:rFonts w:hint="eastAsia" w:ascii="仿宋_GB2312" w:hAnsi="仿宋_GB2312" w:eastAsia="仿宋_GB2312" w:cs="仿宋_GB2312"/>
          <w:color w:val="000000"/>
          <w:kern w:val="0"/>
          <w:sz w:val="32"/>
          <w:szCs w:val="32"/>
          <w:lang w:val="en-US" w:eastAsia="zh-CN" w:bidi="ar"/>
        </w:rPr>
        <w:t>）。在此期间，搅拌机周边无其他工人近距离作业，仅在搅拌机东侧、南侧约10米处各有2名工人在现场开展相关工作。</w:t>
      </w:r>
    </w:p>
    <w:p w14:paraId="1F79D10A">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8时47分，搅拌机操作员郜学文来到搅拌机南侧，将载有两个气罐的二轮车向西推出约3米，接着启动叉车，把锥形料斗推送至搅拌机下部，之后返回搅拌机操作台。8时48分，郜学文启动搅拌机开关，瞬间听到搅拌机方向传来呼救声，他立即关闭开关，赶到平台查看情况，与此同时，听到呼救声的</w:t>
      </w:r>
      <w:r>
        <w:rPr>
          <w:rFonts w:hint="eastAsia" w:ascii="仿宋_GB2312" w:hAnsi="仿宋_GB2312" w:eastAsia="仿宋_GB2312" w:cs="仿宋_GB2312"/>
          <w:color w:val="000000"/>
          <w:kern w:val="0"/>
          <w:sz w:val="32"/>
          <w:szCs w:val="32"/>
          <w:u w:val="none"/>
          <w:lang w:val="en-US" w:eastAsia="zh-CN" w:bidi="ar"/>
        </w:rPr>
        <w:t>工人王绍军</w:t>
      </w:r>
      <w:r>
        <w:rPr>
          <w:rFonts w:hint="eastAsia" w:ascii="仿宋_GB2312" w:hAnsi="仿宋_GB2312" w:eastAsia="仿宋_GB2312" w:cs="仿宋_GB2312"/>
          <w:color w:val="000000"/>
          <w:kern w:val="0"/>
          <w:sz w:val="32"/>
          <w:szCs w:val="32"/>
          <w:lang w:val="en-US" w:eastAsia="zh-CN" w:bidi="ar"/>
        </w:rPr>
        <w:t>也迅速抵达现场，发现王俊伟被搅拌机桨叶卷入机仓底部，王绍军当即让卢红波拨打120急救电话，并组织现场工人将王俊伟从搅拌机内移出，此时王俊伟已失去意识。</w:t>
      </w:r>
    </w:p>
    <w:p w14:paraId="1AEFAC8E">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9时14分，禹州市第二人民医院120医护人员到达现场，经诊断王俊伟已丧失生命体征。</w:t>
      </w:r>
    </w:p>
    <w:p w14:paraId="7DFDBDBB">
      <w:pPr>
        <w:keepNext w:val="0"/>
        <w:keepLines w:val="0"/>
        <w:pageBreakBefore w:val="0"/>
        <w:widowControl w:val="0"/>
        <w:numPr>
          <w:ilvl w:val="0"/>
          <w:numId w:val="0"/>
        </w:numPr>
        <w:tabs>
          <w:tab w:val="right" w:pos="9369"/>
        </w:tabs>
        <w:kinsoku/>
        <w:wordWrap/>
        <w:overflowPunct/>
        <w:topLinePunct w:val="0"/>
        <w:autoSpaceDE/>
        <w:autoSpaceDN/>
        <w:bidi w:val="0"/>
        <w:adjustRightInd/>
        <w:snapToGrid/>
        <w:spacing w:line="560" w:lineRule="exact"/>
        <w:ind w:left="0" w:leftChars="0" w:firstLine="640" w:firstLineChars="200"/>
        <w:jc w:val="left"/>
        <w:textAlignment w:val="auto"/>
        <w:outlineLvl w:val="1"/>
        <w:rPr>
          <w:rFonts w:hint="eastAsia" w:ascii="楷体_GB2312" w:hAnsi="楷体_GB2312" w:eastAsia="楷体_GB2312" w:cs="楷体_GB2312"/>
          <w:b w:val="0"/>
          <w:bCs w:val="0"/>
          <w:i w:val="0"/>
          <w:caps w:val="0"/>
          <w:spacing w:val="0"/>
          <w:w w:val="100"/>
          <w:sz w:val="32"/>
          <w:szCs w:val="32"/>
          <w:lang w:val="en-US" w:eastAsia="zh-CN"/>
        </w:rPr>
      </w:pPr>
      <w:bookmarkStart w:id="9" w:name="_Toc9254"/>
      <w:bookmarkStart w:id="10" w:name="_Toc13907"/>
      <w:r>
        <w:rPr>
          <w:rFonts w:hint="eastAsia" w:ascii="楷体_GB2312" w:hAnsi="楷体_GB2312" w:eastAsia="楷体_GB2312" w:cs="楷体_GB2312"/>
          <w:b w:val="0"/>
          <w:bCs w:val="0"/>
          <w:i w:val="0"/>
          <w:caps w:val="0"/>
          <w:spacing w:val="0"/>
          <w:w w:val="100"/>
          <w:sz w:val="32"/>
          <w:szCs w:val="32"/>
          <w:lang w:val="en-US" w:eastAsia="zh-CN"/>
        </w:rPr>
        <w:t>（二）善后处理情况</w:t>
      </w:r>
      <w:bookmarkEnd w:id="9"/>
      <w:bookmarkEnd w:id="10"/>
    </w:p>
    <w:p w14:paraId="3D205564">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left"/>
        <w:textAlignment w:val="auto"/>
        <w:rPr>
          <w:rFonts w:hint="eastAsia"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bCs w:val="0"/>
          <w:color w:val="000000"/>
          <w:kern w:val="0"/>
          <w:sz w:val="32"/>
          <w:szCs w:val="32"/>
          <w:lang w:val="en-US" w:eastAsia="zh-CN" w:bidi="ar"/>
        </w:rPr>
        <w:t>在火龙镇人民政府积极协调下，4月28日晚，绿叶环保</w:t>
      </w:r>
      <w:r>
        <w:rPr>
          <w:rFonts w:hint="eastAsia" w:ascii="仿宋_GB2312" w:hAnsi="仿宋_GB2312" w:eastAsia="仿宋_GB2312" w:cs="仿宋_GB2312"/>
          <w:b w:val="0"/>
          <w:i w:val="0"/>
          <w:caps w:val="0"/>
          <w:spacing w:val="0"/>
          <w:w w:val="100"/>
          <w:sz w:val="32"/>
          <w:szCs w:val="32"/>
          <w:lang w:val="en-US" w:eastAsia="zh-CN"/>
        </w:rPr>
        <w:t>公司与死者家属达成赔偿协</w:t>
      </w:r>
      <w:bookmarkStart w:id="11" w:name="_Toc21436"/>
      <w:r>
        <w:rPr>
          <w:rFonts w:hint="eastAsia" w:ascii="仿宋_GB2312" w:hAnsi="仿宋_GB2312" w:eastAsia="仿宋_GB2312" w:cs="仿宋_GB2312"/>
          <w:b w:val="0"/>
          <w:i w:val="0"/>
          <w:caps w:val="0"/>
          <w:spacing w:val="0"/>
          <w:w w:val="100"/>
          <w:sz w:val="32"/>
          <w:szCs w:val="32"/>
          <w:lang w:val="en-US" w:eastAsia="zh-CN"/>
        </w:rPr>
        <w:t>议，善后工作全部处理完毕，网络未出现相关舆情。</w:t>
      </w:r>
    </w:p>
    <w:p w14:paraId="2FEDB647">
      <w:pPr>
        <w:keepNext w:val="0"/>
        <w:keepLines w:val="0"/>
        <w:pageBreakBefore w:val="0"/>
        <w:widowControl w:val="0"/>
        <w:numPr>
          <w:ilvl w:val="0"/>
          <w:numId w:val="0"/>
        </w:numPr>
        <w:tabs>
          <w:tab w:val="right" w:pos="9369"/>
        </w:tabs>
        <w:kinsoku/>
        <w:wordWrap/>
        <w:overflowPunct/>
        <w:topLinePunct w:val="0"/>
        <w:autoSpaceDE/>
        <w:autoSpaceDN/>
        <w:bidi w:val="0"/>
        <w:adjustRightInd/>
        <w:snapToGrid/>
        <w:spacing w:line="560" w:lineRule="exact"/>
        <w:ind w:left="0" w:leftChars="0" w:firstLine="640" w:firstLineChars="200"/>
        <w:jc w:val="left"/>
        <w:textAlignment w:val="auto"/>
        <w:outlineLvl w:val="1"/>
        <w:rPr>
          <w:rFonts w:hint="eastAsia" w:ascii="楷体_GB2312" w:hAnsi="楷体_GB2312" w:eastAsia="楷体_GB2312" w:cs="楷体_GB2312"/>
          <w:b w:val="0"/>
          <w:bCs w:val="0"/>
          <w:i w:val="0"/>
          <w:caps w:val="0"/>
          <w:spacing w:val="0"/>
          <w:w w:val="100"/>
          <w:sz w:val="32"/>
          <w:szCs w:val="32"/>
          <w:lang w:val="en-US" w:eastAsia="zh-CN"/>
        </w:rPr>
      </w:pPr>
      <w:bookmarkStart w:id="12" w:name="_Toc534"/>
      <w:r>
        <w:rPr>
          <w:rFonts w:hint="eastAsia" w:ascii="楷体_GB2312" w:hAnsi="楷体_GB2312" w:eastAsia="楷体_GB2312" w:cs="楷体_GB2312"/>
          <w:b w:val="0"/>
          <w:i w:val="0"/>
          <w:caps w:val="0"/>
          <w:spacing w:val="0"/>
          <w:w w:val="100"/>
          <w:sz w:val="32"/>
          <w:szCs w:val="32"/>
          <w:lang w:val="en-US" w:eastAsia="zh-CN"/>
        </w:rPr>
        <w:t>（三）</w:t>
      </w:r>
      <w:r>
        <w:rPr>
          <w:rFonts w:hint="eastAsia" w:ascii="楷体_GB2312" w:hAnsi="楷体_GB2312" w:eastAsia="楷体_GB2312" w:cs="楷体_GB2312"/>
          <w:b w:val="0"/>
          <w:bCs w:val="0"/>
          <w:i w:val="0"/>
          <w:caps w:val="0"/>
          <w:spacing w:val="0"/>
          <w:w w:val="100"/>
          <w:sz w:val="32"/>
          <w:szCs w:val="32"/>
          <w:lang w:val="en-US" w:eastAsia="zh-CN"/>
        </w:rPr>
        <w:t>应急处置评估情况</w:t>
      </w:r>
      <w:bookmarkEnd w:id="11"/>
      <w:bookmarkEnd w:id="12"/>
    </w:p>
    <w:p w14:paraId="57E1B343">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事故发生后，现场人员迅速展开救援，及时将被困人员救出，并拨打120急救电话，同时按程序上报事故</w:t>
      </w:r>
      <w:r>
        <w:rPr>
          <w:rFonts w:hint="eastAsia" w:ascii="仿宋_GB2312" w:hAnsi="仿宋_GB2312" w:eastAsia="仿宋_GB2312" w:cs="仿宋_GB2312"/>
          <w:color w:val="auto"/>
          <w:kern w:val="0"/>
          <w:sz w:val="32"/>
          <w:szCs w:val="32"/>
          <w:lang w:val="en-US" w:eastAsia="zh-CN" w:bidi="ar"/>
        </w:rPr>
        <w:t>信息。经评估，该起事故</w:t>
      </w:r>
      <w:r>
        <w:rPr>
          <w:rFonts w:hint="eastAsia" w:ascii="仿宋_GB2312" w:hAnsi="仿宋_GB2312" w:eastAsia="仿宋_GB2312" w:cs="仿宋_GB2312"/>
          <w:color w:val="000000"/>
          <w:kern w:val="0"/>
          <w:sz w:val="32"/>
          <w:szCs w:val="32"/>
          <w:lang w:val="en-US" w:eastAsia="zh-CN" w:bidi="ar"/>
        </w:rPr>
        <w:t>抢险救援行动迅速，处置措施得当。</w:t>
      </w:r>
    </w:p>
    <w:p w14:paraId="54287FC4">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left"/>
        <w:textAlignment w:val="auto"/>
        <w:outlineLvl w:val="0"/>
        <w:rPr>
          <w:rFonts w:hint="eastAsia" w:ascii="黑体" w:hAnsi="黑体" w:eastAsia="黑体" w:cs="黑体"/>
          <w:kern w:val="2"/>
          <w:sz w:val="32"/>
          <w:szCs w:val="32"/>
          <w:lang w:val="en-US" w:eastAsia="zh-CN" w:bidi="ar-SA"/>
        </w:rPr>
      </w:pPr>
      <w:bookmarkStart w:id="13" w:name="_Toc4902"/>
      <w:bookmarkStart w:id="14" w:name="_Toc19587"/>
      <w:r>
        <w:rPr>
          <w:rFonts w:hint="eastAsia" w:ascii="黑体" w:hAnsi="黑体" w:eastAsia="黑体" w:cs="黑体"/>
          <w:kern w:val="2"/>
          <w:sz w:val="32"/>
          <w:szCs w:val="32"/>
          <w:lang w:val="en-US" w:eastAsia="zh-CN" w:bidi="ar-SA"/>
        </w:rPr>
        <w:t>三、事故发生</w:t>
      </w:r>
      <w:r>
        <w:rPr>
          <w:rFonts w:hint="eastAsia" w:ascii="黑体" w:hAnsi="黑体" w:eastAsia="黑体" w:cs="黑体"/>
          <w:color w:val="auto"/>
          <w:kern w:val="2"/>
          <w:sz w:val="32"/>
          <w:szCs w:val="32"/>
          <w:lang w:val="en-US" w:eastAsia="zh-CN" w:bidi="ar-SA"/>
        </w:rPr>
        <w:t>的直接</w:t>
      </w:r>
      <w:r>
        <w:rPr>
          <w:rFonts w:hint="eastAsia" w:ascii="黑体" w:hAnsi="黑体" w:eastAsia="黑体" w:cs="黑体"/>
          <w:kern w:val="2"/>
          <w:sz w:val="32"/>
          <w:szCs w:val="32"/>
          <w:lang w:val="en-US" w:eastAsia="zh-CN" w:bidi="ar-SA"/>
        </w:rPr>
        <w:t>原因</w:t>
      </w:r>
      <w:bookmarkEnd w:id="13"/>
      <w:bookmarkEnd w:id="14"/>
    </w:p>
    <w:p w14:paraId="76A73B2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color w:val="000000"/>
          <w:kern w:val="0"/>
          <w:sz w:val="32"/>
          <w:szCs w:val="32"/>
          <w:vertAlign w:val="baseline"/>
          <w:lang w:val="en-US" w:eastAsia="zh-CN"/>
        </w:rPr>
        <w:t>经调查认定，事故发生的直接原因是</w:t>
      </w:r>
      <w:r>
        <w:rPr>
          <w:rFonts w:hint="eastAsia" w:ascii="仿宋_GB2312" w:hAnsi="仿宋_GB2312" w:eastAsia="仿宋_GB2312" w:cs="仿宋_GB2312"/>
          <w:color w:val="auto"/>
          <w:kern w:val="0"/>
          <w:sz w:val="32"/>
          <w:szCs w:val="32"/>
          <w:vertAlign w:val="baseline"/>
          <w:lang w:val="en-US" w:eastAsia="zh-CN"/>
        </w:rPr>
        <w:t>，</w:t>
      </w:r>
      <w:r>
        <w:rPr>
          <w:rFonts w:hint="eastAsia" w:ascii="仿宋_GB2312" w:hAnsi="仿宋_GB2312" w:eastAsia="仿宋_GB2312" w:cs="仿宋_GB2312"/>
          <w:color w:val="000000"/>
          <w:kern w:val="0"/>
          <w:sz w:val="32"/>
          <w:szCs w:val="32"/>
          <w:lang w:val="en-US" w:eastAsia="zh-CN" w:bidi="ar"/>
        </w:rPr>
        <w:t>王俊伟在公司未安排对搅拌机相关作业的情况下，擅自进入搅拌机内部，使自身处于危险境地；</w:t>
      </w:r>
      <w:r>
        <w:rPr>
          <w:rFonts w:hint="eastAsia" w:ascii="仿宋_GB2312" w:hAnsi="仿宋_GB2312" w:eastAsia="仿宋_GB2312" w:cs="仿宋_GB2312"/>
          <w:color w:val="auto"/>
          <w:kern w:val="0"/>
          <w:sz w:val="32"/>
          <w:szCs w:val="32"/>
          <w:lang w:val="en-US" w:eastAsia="zh-CN" w:bidi="ar"/>
        </w:rPr>
        <w:t>郜学文未严格执行搅拌机操作</w:t>
      </w:r>
      <w:r>
        <w:rPr>
          <w:rFonts w:hint="eastAsia" w:ascii="仿宋_GB2312" w:hAnsi="仿宋_GB2312" w:eastAsia="仿宋_GB2312" w:cs="仿宋_GB2312"/>
          <w:b w:val="0"/>
          <w:bCs w:val="0"/>
          <w:color w:val="auto"/>
          <w:kern w:val="0"/>
          <w:sz w:val="32"/>
          <w:szCs w:val="32"/>
          <w:u w:val="none"/>
          <w:lang w:val="en-US" w:eastAsia="zh-CN" w:bidi="ar"/>
        </w:rPr>
        <w:t>规程</w:t>
      </w:r>
      <w:r>
        <w:rPr>
          <w:rStyle w:val="14"/>
          <w:rFonts w:hint="eastAsia" w:ascii="仿宋_GB2312" w:hAnsi="仿宋_GB2312" w:eastAsia="仿宋_GB2312" w:cs="仿宋_GB2312"/>
          <w:b w:val="0"/>
          <w:bCs w:val="0"/>
          <w:color w:val="auto"/>
          <w:kern w:val="0"/>
          <w:sz w:val="32"/>
          <w:szCs w:val="32"/>
          <w:u w:val="none"/>
          <w:lang w:val="en-US" w:eastAsia="zh-CN" w:bidi="ar"/>
        </w:rPr>
        <w:t>[</w:t>
      </w:r>
      <w:r>
        <w:rPr>
          <w:rStyle w:val="14"/>
          <w:rFonts w:hint="eastAsia" w:ascii="仿宋_GB2312" w:hAnsi="仿宋_GB2312" w:eastAsia="仿宋_GB2312" w:cs="仿宋_GB2312"/>
          <w:b w:val="0"/>
          <w:bCs w:val="0"/>
          <w:color w:val="auto"/>
          <w:kern w:val="0"/>
          <w:sz w:val="32"/>
          <w:szCs w:val="32"/>
          <w:u w:val="none"/>
          <w:lang w:val="en-US" w:eastAsia="zh-CN" w:bidi="ar"/>
        </w:rPr>
        <w:footnoteReference w:id="0"/>
      </w:r>
      <w:r>
        <w:rPr>
          <w:rStyle w:val="14"/>
          <w:rFonts w:hint="eastAsia" w:ascii="仿宋_GB2312" w:hAnsi="仿宋_GB2312" w:eastAsia="仿宋_GB2312" w:cs="仿宋_GB2312"/>
          <w:b w:val="0"/>
          <w:bCs w:val="0"/>
          <w:color w:val="auto"/>
          <w:kern w:val="0"/>
          <w:sz w:val="32"/>
          <w:szCs w:val="32"/>
          <w:u w:val="none"/>
          <w:lang w:val="en-US" w:eastAsia="zh-CN" w:bidi="ar"/>
        </w:rPr>
        <w:t>]</w:t>
      </w:r>
      <w:r>
        <w:rPr>
          <w:rFonts w:hint="eastAsia" w:ascii="仿宋_GB2312" w:hAnsi="仿宋_GB2312" w:eastAsia="仿宋_GB2312" w:cs="仿宋_GB2312"/>
          <w:b w:val="0"/>
          <w:bCs w:val="0"/>
          <w:color w:val="auto"/>
          <w:kern w:val="0"/>
          <w:sz w:val="32"/>
          <w:szCs w:val="32"/>
          <w:lang w:val="en-US" w:eastAsia="zh-CN" w:bidi="ar"/>
        </w:rPr>
        <w:t>，在</w:t>
      </w:r>
      <w:r>
        <w:rPr>
          <w:rFonts w:hint="eastAsia" w:ascii="仿宋_GB2312" w:hAnsi="仿宋_GB2312" w:eastAsia="仿宋_GB2312" w:cs="仿宋_GB2312"/>
          <w:color w:val="auto"/>
          <w:kern w:val="0"/>
          <w:sz w:val="32"/>
          <w:szCs w:val="32"/>
          <w:lang w:val="en-US" w:eastAsia="zh-CN" w:bidi="ar"/>
        </w:rPr>
        <w:t>未对设备周边及内部进行检查并确保无危险的情况下，违规启动搅拌机，最终导致该起事故发生。</w:t>
      </w:r>
    </w:p>
    <w:p w14:paraId="526E821F">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left"/>
        <w:textAlignment w:val="auto"/>
        <w:outlineLvl w:val="0"/>
        <w:rPr>
          <w:rFonts w:hint="eastAsia" w:ascii="黑体" w:hAnsi="黑体" w:eastAsia="黑体" w:cs="黑体"/>
          <w:kern w:val="2"/>
          <w:sz w:val="32"/>
          <w:szCs w:val="32"/>
          <w:lang w:val="en-US" w:eastAsia="zh-CN" w:bidi="ar-SA"/>
        </w:rPr>
      </w:pPr>
      <w:bookmarkStart w:id="15" w:name="_Toc655"/>
      <w:bookmarkStart w:id="16" w:name="_Toc5401"/>
      <w:r>
        <w:rPr>
          <w:rFonts w:hint="eastAsia" w:ascii="黑体" w:hAnsi="黑体" w:eastAsia="黑体" w:cs="黑体"/>
          <w:kern w:val="2"/>
          <w:sz w:val="32"/>
          <w:szCs w:val="32"/>
          <w:lang w:val="en-US" w:eastAsia="zh-CN" w:bidi="ar-SA"/>
        </w:rPr>
        <w:t>四、事故暴露出的主要问题</w:t>
      </w:r>
      <w:bookmarkEnd w:id="15"/>
      <w:bookmarkEnd w:id="16"/>
    </w:p>
    <w:p w14:paraId="07B95845">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left"/>
        <w:textAlignment w:val="auto"/>
        <w:outlineLvl w:val="1"/>
        <w:rPr>
          <w:rFonts w:hint="eastAsia" w:ascii="楷体_GB2312" w:hAnsi="楷体_GB2312" w:eastAsia="楷体_GB2312" w:cs="楷体_GB2312"/>
          <w:kern w:val="2"/>
          <w:sz w:val="32"/>
          <w:szCs w:val="32"/>
          <w:lang w:val="en-US" w:eastAsia="zh-CN" w:bidi="ar-SA"/>
        </w:rPr>
      </w:pPr>
      <w:bookmarkStart w:id="17" w:name="_Toc1318"/>
      <w:bookmarkStart w:id="18" w:name="_Toc3746"/>
      <w:r>
        <w:rPr>
          <w:rFonts w:hint="eastAsia" w:ascii="楷体_GB2312" w:hAnsi="楷体_GB2312" w:eastAsia="楷体_GB2312" w:cs="楷体_GB2312"/>
          <w:kern w:val="2"/>
          <w:sz w:val="32"/>
          <w:szCs w:val="32"/>
          <w:lang w:val="en-US" w:eastAsia="zh-CN" w:bidi="ar-SA"/>
        </w:rPr>
        <w:t>（一）事故单位存在的问题</w:t>
      </w:r>
      <w:bookmarkEnd w:id="17"/>
      <w:bookmarkEnd w:id="18"/>
    </w:p>
    <w:p w14:paraId="20899E3C">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left"/>
        <w:textAlignment w:val="auto"/>
        <w:rPr>
          <w:rFonts w:hint="eastAsia" w:ascii="仿宋_GB2312" w:hAnsi="仿宋_GB2312" w:eastAsia="仿宋_GB2312" w:cs="仿宋_GB2312"/>
          <w:color w:val="000000"/>
          <w:kern w:val="0"/>
          <w:sz w:val="32"/>
          <w:szCs w:val="32"/>
          <w:u w:val="none"/>
          <w:lang w:val="en-US" w:eastAsia="zh-CN" w:bidi="ar"/>
        </w:rPr>
      </w:pPr>
      <w:r>
        <w:rPr>
          <w:rFonts w:hint="eastAsia" w:ascii="仿宋_GB2312" w:hAnsi="仿宋_GB2312" w:eastAsia="仿宋_GB2312" w:cs="仿宋_GB2312"/>
          <w:color w:val="000000"/>
          <w:kern w:val="0"/>
          <w:sz w:val="32"/>
          <w:szCs w:val="32"/>
          <w:u w:val="none"/>
          <w:lang w:val="en-US" w:eastAsia="zh-CN" w:bidi="ar"/>
        </w:rPr>
        <w:t>绿叶环保公司：1.安全生产主体责任落实不到位。安全发展理念淡薄，作业现场缺乏完善的安全管理制度和有效监督机制，无安全管理人员</w:t>
      </w:r>
      <w:r>
        <w:rPr>
          <w:rStyle w:val="14"/>
          <w:rFonts w:hint="eastAsia" w:ascii="仿宋_GB2312" w:hAnsi="仿宋_GB2312" w:eastAsia="仿宋_GB2312" w:cs="仿宋_GB2312"/>
          <w:color w:val="000000"/>
          <w:kern w:val="0"/>
          <w:sz w:val="32"/>
          <w:szCs w:val="32"/>
          <w:u w:val="none"/>
          <w:lang w:val="en-US" w:eastAsia="zh-CN" w:bidi="ar"/>
        </w:rPr>
        <w:t>[</w:t>
      </w:r>
      <w:r>
        <w:rPr>
          <w:rStyle w:val="14"/>
          <w:rFonts w:hint="eastAsia" w:ascii="仿宋_GB2312" w:hAnsi="仿宋_GB2312" w:eastAsia="仿宋_GB2312" w:cs="仿宋_GB2312"/>
          <w:color w:val="000000"/>
          <w:kern w:val="0"/>
          <w:sz w:val="32"/>
          <w:szCs w:val="32"/>
          <w:u w:val="none"/>
          <w:lang w:val="en-US" w:eastAsia="zh-CN" w:bidi="ar"/>
        </w:rPr>
        <w:footnoteReference w:id="1"/>
      </w:r>
      <w:r>
        <w:rPr>
          <w:rStyle w:val="14"/>
          <w:rFonts w:hint="eastAsia" w:ascii="仿宋_GB2312" w:hAnsi="仿宋_GB2312" w:eastAsia="仿宋_GB2312" w:cs="仿宋_GB2312"/>
          <w:color w:val="000000"/>
          <w:kern w:val="0"/>
          <w:sz w:val="32"/>
          <w:szCs w:val="32"/>
          <w:u w:val="none"/>
          <w:lang w:val="en-US" w:eastAsia="zh-CN" w:bidi="ar"/>
        </w:rPr>
        <w:t>]</w:t>
      </w:r>
      <w:r>
        <w:rPr>
          <w:rFonts w:hint="eastAsia" w:ascii="仿宋_GB2312" w:hAnsi="仿宋_GB2312" w:eastAsia="仿宋_GB2312" w:cs="仿宋_GB2312"/>
          <w:color w:val="000000"/>
          <w:kern w:val="0"/>
          <w:sz w:val="32"/>
          <w:szCs w:val="32"/>
          <w:u w:val="none"/>
          <w:lang w:val="en-US" w:eastAsia="zh-CN" w:bidi="ar"/>
        </w:rPr>
        <w:t>，安全管理存在盲区和漏洞；2.未建立安全生产教育和培训档案</w:t>
      </w:r>
      <w:r>
        <w:rPr>
          <w:rStyle w:val="14"/>
          <w:rFonts w:hint="eastAsia" w:ascii="仿宋_GB2312" w:hAnsi="仿宋_GB2312" w:eastAsia="仿宋_GB2312" w:cs="仿宋_GB2312"/>
          <w:color w:val="000000"/>
          <w:kern w:val="0"/>
          <w:sz w:val="32"/>
          <w:szCs w:val="32"/>
          <w:u w:val="none"/>
          <w:lang w:val="en-US" w:eastAsia="zh-CN" w:bidi="ar"/>
        </w:rPr>
        <w:t>[</w:t>
      </w:r>
      <w:r>
        <w:rPr>
          <w:rStyle w:val="14"/>
          <w:rFonts w:hint="eastAsia" w:ascii="仿宋_GB2312" w:hAnsi="仿宋_GB2312" w:eastAsia="仿宋_GB2312" w:cs="仿宋_GB2312"/>
          <w:color w:val="000000"/>
          <w:kern w:val="0"/>
          <w:sz w:val="32"/>
          <w:szCs w:val="32"/>
          <w:u w:val="none"/>
          <w:lang w:val="en-US" w:eastAsia="zh-CN" w:bidi="ar"/>
        </w:rPr>
        <w:footnoteReference w:id="2"/>
      </w:r>
      <w:r>
        <w:rPr>
          <w:rStyle w:val="14"/>
          <w:rFonts w:hint="eastAsia" w:ascii="仿宋_GB2312" w:hAnsi="仿宋_GB2312" w:eastAsia="仿宋_GB2312" w:cs="仿宋_GB2312"/>
          <w:color w:val="000000"/>
          <w:kern w:val="0"/>
          <w:sz w:val="32"/>
          <w:szCs w:val="32"/>
          <w:u w:val="none"/>
          <w:lang w:val="en-US" w:eastAsia="zh-CN" w:bidi="ar"/>
        </w:rPr>
        <w:t>]</w:t>
      </w:r>
      <w:r>
        <w:rPr>
          <w:rFonts w:hint="eastAsia" w:ascii="仿宋_GB2312" w:hAnsi="仿宋_GB2312" w:eastAsia="仿宋_GB2312" w:cs="仿宋_GB2312"/>
          <w:color w:val="000000"/>
          <w:kern w:val="0"/>
          <w:sz w:val="32"/>
          <w:szCs w:val="32"/>
          <w:u w:val="none"/>
          <w:lang w:val="en-US" w:eastAsia="zh-CN" w:bidi="ar"/>
        </w:rPr>
        <w:t>。安全教育培训流于形式，职工安全教育培训不深入，培训效果差，职工安全意识淡薄；3.设备管理存在漏洞。搅拌机未设置安全警示标志</w:t>
      </w:r>
      <w:r>
        <w:rPr>
          <w:rStyle w:val="14"/>
          <w:rFonts w:hint="eastAsia" w:ascii="仿宋_GB2312" w:hAnsi="仿宋_GB2312" w:eastAsia="仿宋_GB2312" w:cs="仿宋_GB2312"/>
          <w:color w:val="000000"/>
          <w:kern w:val="0"/>
          <w:sz w:val="32"/>
          <w:szCs w:val="32"/>
          <w:u w:val="none"/>
          <w:lang w:val="en-US" w:eastAsia="zh-CN" w:bidi="ar"/>
        </w:rPr>
        <w:t>[</w:t>
      </w:r>
      <w:r>
        <w:rPr>
          <w:rStyle w:val="14"/>
          <w:rFonts w:hint="eastAsia" w:ascii="仿宋_GB2312" w:hAnsi="仿宋_GB2312" w:eastAsia="仿宋_GB2312" w:cs="仿宋_GB2312"/>
          <w:color w:val="000000"/>
          <w:kern w:val="0"/>
          <w:sz w:val="32"/>
          <w:szCs w:val="32"/>
          <w:u w:val="none"/>
          <w:lang w:val="en-US" w:eastAsia="zh-CN" w:bidi="ar"/>
        </w:rPr>
        <w:footnoteReference w:id="3"/>
      </w:r>
      <w:r>
        <w:rPr>
          <w:rStyle w:val="14"/>
          <w:rFonts w:hint="eastAsia" w:ascii="仿宋_GB2312" w:hAnsi="仿宋_GB2312" w:eastAsia="仿宋_GB2312" w:cs="仿宋_GB2312"/>
          <w:color w:val="000000"/>
          <w:kern w:val="0"/>
          <w:sz w:val="32"/>
          <w:szCs w:val="32"/>
          <w:u w:val="none"/>
          <w:lang w:val="en-US" w:eastAsia="zh-CN" w:bidi="ar"/>
        </w:rPr>
        <w:t>]</w:t>
      </w:r>
      <w:r>
        <w:rPr>
          <w:rFonts w:hint="eastAsia" w:ascii="仿宋_GB2312" w:hAnsi="仿宋_GB2312" w:eastAsia="仿宋_GB2312" w:cs="仿宋_GB2312"/>
          <w:color w:val="000000"/>
          <w:kern w:val="0"/>
          <w:sz w:val="32"/>
          <w:szCs w:val="32"/>
          <w:u w:val="none"/>
          <w:lang w:val="en-US" w:eastAsia="zh-CN" w:bidi="ar"/>
        </w:rPr>
        <w:t>，未能起到警示作用，有效提醒人员规避风险。</w:t>
      </w:r>
    </w:p>
    <w:p w14:paraId="63A4282A">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left"/>
        <w:textAlignment w:val="auto"/>
        <w:outlineLvl w:val="1"/>
        <w:rPr>
          <w:rFonts w:hint="eastAsia" w:ascii="楷体_GB2312" w:hAnsi="楷体_GB2312" w:eastAsia="楷体_GB2312" w:cs="楷体_GB2312"/>
          <w:kern w:val="2"/>
          <w:sz w:val="32"/>
          <w:szCs w:val="32"/>
          <w:lang w:val="en-US" w:eastAsia="zh-CN" w:bidi="ar-SA"/>
        </w:rPr>
      </w:pPr>
      <w:bookmarkStart w:id="19" w:name="_Toc8477"/>
      <w:r>
        <w:rPr>
          <w:rFonts w:hint="eastAsia" w:ascii="楷体_GB2312" w:hAnsi="楷体_GB2312" w:eastAsia="楷体_GB2312" w:cs="楷体_GB2312"/>
          <w:kern w:val="2"/>
          <w:sz w:val="32"/>
          <w:szCs w:val="32"/>
          <w:lang w:val="en-US" w:eastAsia="zh-CN" w:bidi="ar-SA"/>
        </w:rPr>
        <w:t>（二）行业管理部门存在的问题</w:t>
      </w:r>
      <w:bookmarkEnd w:id="19"/>
    </w:p>
    <w:p w14:paraId="169F3D73">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left"/>
        <w:textAlignment w:val="auto"/>
        <w:rPr>
          <w:rFonts w:hint="eastAsia" w:ascii="仿宋" w:hAnsi="仿宋" w:eastAsia="仿宋_GB2312" w:cs="仿宋"/>
          <w:color w:val="000000"/>
          <w:kern w:val="0"/>
          <w:sz w:val="32"/>
          <w:szCs w:val="32"/>
          <w:u w:val="single"/>
          <w:lang w:val="en-US" w:eastAsia="zh-CN" w:bidi="ar"/>
        </w:rPr>
      </w:pPr>
      <w:r>
        <w:rPr>
          <w:rFonts w:hint="eastAsia" w:ascii="仿宋_GB2312" w:hAnsi="仿宋_GB2312" w:eastAsia="仿宋_GB2312" w:cs="仿宋_GB2312"/>
          <w:kern w:val="0"/>
          <w:sz w:val="32"/>
          <w:szCs w:val="32"/>
          <w:lang w:val="en-US" w:eastAsia="zh-CN" w:bidi="ar-SA"/>
        </w:rPr>
        <w:t>禹州市工业和信息化局作为建材行业的行业管理部门，未按照“三管三必须”的要求，落实行业管理责任，安全管理存在失管漏管现象。</w:t>
      </w:r>
    </w:p>
    <w:p w14:paraId="5AD9AB55">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left"/>
        <w:textAlignment w:val="auto"/>
        <w:outlineLvl w:val="1"/>
        <w:rPr>
          <w:rFonts w:hint="eastAsia" w:ascii="楷体_GB2312" w:hAnsi="楷体_GB2312" w:eastAsia="楷体_GB2312" w:cs="楷体_GB2312"/>
          <w:b/>
          <w:bCs/>
          <w:kern w:val="0"/>
          <w:sz w:val="32"/>
          <w:szCs w:val="32"/>
          <w:lang w:val="en-US" w:eastAsia="zh-CN" w:bidi="ar-SA"/>
        </w:rPr>
      </w:pPr>
      <w:bookmarkStart w:id="20" w:name="_Toc27698"/>
      <w:bookmarkStart w:id="21" w:name="_Toc9231"/>
      <w:r>
        <w:rPr>
          <w:rFonts w:hint="eastAsia" w:ascii="楷体_GB2312" w:hAnsi="楷体_GB2312" w:eastAsia="楷体_GB2312" w:cs="楷体_GB2312"/>
          <w:b w:val="0"/>
          <w:bCs w:val="0"/>
          <w:kern w:val="0"/>
          <w:sz w:val="32"/>
          <w:szCs w:val="32"/>
          <w:lang w:val="en-US" w:eastAsia="zh-CN" w:bidi="ar-SA"/>
        </w:rPr>
        <w:t>（三）属地政府存在的问题</w:t>
      </w:r>
      <w:bookmarkEnd w:id="20"/>
      <w:bookmarkEnd w:id="21"/>
    </w:p>
    <w:p w14:paraId="230F1761">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kern w:val="0"/>
          <w:sz w:val="32"/>
          <w:szCs w:val="32"/>
          <w:lang w:val="en-US" w:eastAsia="zh-CN" w:bidi="ar-SA"/>
        </w:rPr>
        <w:t>火龙镇人民政府贯彻落实安全生产法律法规和上级党委政府有关安全生产工作的决策部署不深入不细致，落实属地监管责任不到位，</w:t>
      </w:r>
      <w:r>
        <w:rPr>
          <w:rFonts w:hint="eastAsia" w:ascii="仿宋_GB2312" w:hAnsi="仿宋_GB2312" w:eastAsia="仿宋_GB2312" w:cs="仿宋_GB2312"/>
          <w:color w:val="auto"/>
          <w:kern w:val="0"/>
          <w:sz w:val="32"/>
          <w:szCs w:val="32"/>
          <w:lang w:val="en-US" w:eastAsia="zh-CN" w:bidi="ar-SA"/>
        </w:rPr>
        <w:t>未能充分发挥安全监管人员网格化管理体系职能作用，及时发现企业存在的问题。</w:t>
      </w:r>
    </w:p>
    <w:p w14:paraId="2DF60DC7">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left"/>
        <w:textAlignment w:val="auto"/>
        <w:outlineLvl w:val="0"/>
        <w:rPr>
          <w:rFonts w:hint="eastAsia" w:ascii="黑体" w:hAnsi="黑体" w:eastAsia="黑体" w:cs="黑体"/>
          <w:kern w:val="2"/>
          <w:sz w:val="32"/>
          <w:szCs w:val="32"/>
          <w:lang w:val="en-US" w:eastAsia="zh-CN" w:bidi="ar-SA"/>
        </w:rPr>
      </w:pPr>
      <w:bookmarkStart w:id="22" w:name="_Toc7452"/>
      <w:bookmarkStart w:id="23" w:name="_Toc20342"/>
      <w:r>
        <w:rPr>
          <w:rFonts w:hint="eastAsia" w:ascii="黑体" w:hAnsi="黑体" w:eastAsia="黑体" w:cs="黑体"/>
          <w:kern w:val="2"/>
          <w:sz w:val="32"/>
          <w:szCs w:val="32"/>
          <w:lang w:val="en-US" w:eastAsia="zh-CN" w:bidi="ar-SA"/>
        </w:rPr>
        <w:t>五、对有关责任人员和责任单位的处理建议</w:t>
      </w:r>
      <w:bookmarkEnd w:id="22"/>
      <w:bookmarkEnd w:id="23"/>
    </w:p>
    <w:p w14:paraId="50175724">
      <w:pPr>
        <w:keepNext w:val="0"/>
        <w:keepLines w:val="0"/>
        <w:pageBreakBefore w:val="0"/>
        <w:widowControl w:val="0"/>
        <w:tabs>
          <w:tab w:val="left" w:pos="1875"/>
        </w:tabs>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根据事故原因调查和事故责任认定，依据有关法律法规规定，对事故责任单位和责任人员提出如下处理建议：</w:t>
      </w:r>
      <w:bookmarkStart w:id="40" w:name="_GoBack"/>
      <w:bookmarkEnd w:id="40"/>
    </w:p>
    <w:p w14:paraId="512B3FAF">
      <w:pPr>
        <w:keepNext w:val="0"/>
        <w:keepLines w:val="0"/>
        <w:pageBreakBefore w:val="0"/>
        <w:widowControl w:val="0"/>
        <w:numPr>
          <w:ilvl w:val="0"/>
          <w:numId w:val="0"/>
        </w:numPr>
        <w:tabs>
          <w:tab w:val="left" w:pos="1875"/>
        </w:tabs>
        <w:kinsoku/>
        <w:wordWrap/>
        <w:overflowPunct/>
        <w:topLinePunct w:val="0"/>
        <w:autoSpaceDE/>
        <w:autoSpaceDN/>
        <w:bidi w:val="0"/>
        <w:adjustRightInd/>
        <w:snapToGrid/>
        <w:spacing w:line="560" w:lineRule="exact"/>
        <w:ind w:left="0" w:leftChars="0" w:firstLine="640" w:firstLineChars="200"/>
        <w:jc w:val="left"/>
        <w:textAlignment w:val="auto"/>
        <w:outlineLvl w:val="1"/>
        <w:rPr>
          <w:rFonts w:hint="eastAsia" w:ascii="楷体_GB2312" w:hAnsi="楷体_GB2312" w:eastAsia="楷体_GB2312" w:cs="楷体_GB2312"/>
          <w:b w:val="0"/>
          <w:bCs w:val="0"/>
          <w:sz w:val="32"/>
          <w:szCs w:val="32"/>
          <w:lang w:val="en-US" w:eastAsia="zh-CN"/>
        </w:rPr>
      </w:pPr>
      <w:bookmarkStart w:id="24" w:name="_Toc13265"/>
      <w:bookmarkStart w:id="25" w:name="_Toc1958"/>
      <w:r>
        <w:rPr>
          <w:rFonts w:hint="eastAsia" w:ascii="楷体_GB2312" w:hAnsi="楷体_GB2312" w:eastAsia="楷体_GB2312" w:cs="楷体_GB2312"/>
          <w:b w:val="0"/>
          <w:bCs w:val="0"/>
          <w:sz w:val="32"/>
          <w:szCs w:val="32"/>
          <w:lang w:val="en-US" w:eastAsia="zh-CN"/>
        </w:rPr>
        <w:t>（一）建议免于追究责任人员</w:t>
      </w:r>
      <w:bookmarkEnd w:id="24"/>
      <w:bookmarkEnd w:id="25"/>
    </w:p>
    <w:p w14:paraId="02FEBB4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kern w:val="0"/>
          <w:sz w:val="32"/>
          <w:szCs w:val="32"/>
          <w:lang w:val="en-US" w:eastAsia="zh-CN"/>
        </w:rPr>
        <w:t>王俊伟，绿叶环保公司临时雇佣维修工，在完成维修工作后，擅自进入搅拌机内部，</w:t>
      </w:r>
      <w:r>
        <w:rPr>
          <w:rFonts w:hint="eastAsia" w:ascii="仿宋_GB2312" w:hAnsi="仿宋_GB2312" w:eastAsia="仿宋_GB2312" w:cs="仿宋_GB2312"/>
          <w:sz w:val="32"/>
          <w:szCs w:val="32"/>
        </w:rPr>
        <w:t>对事故负直接责任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鉴于</w:t>
      </w:r>
      <w:r>
        <w:rPr>
          <w:rFonts w:hint="eastAsia" w:ascii="仿宋_GB2312" w:hAnsi="仿宋_GB2312" w:eastAsia="仿宋_GB2312" w:cs="仿宋_GB2312"/>
          <w:sz w:val="32"/>
          <w:szCs w:val="32"/>
          <w:lang w:val="en-US" w:eastAsia="zh-CN"/>
        </w:rPr>
        <w:t>其在事故中死亡，建议免于</w:t>
      </w:r>
      <w:r>
        <w:rPr>
          <w:rFonts w:hint="eastAsia" w:ascii="仿宋_GB2312" w:hAnsi="仿宋_GB2312" w:eastAsia="仿宋_GB2312" w:cs="仿宋_GB2312"/>
          <w:sz w:val="32"/>
          <w:szCs w:val="32"/>
        </w:rPr>
        <w:t>追究责任</w:t>
      </w:r>
      <w:r>
        <w:rPr>
          <w:rFonts w:hint="eastAsia" w:ascii="仿宋_GB2312" w:hAnsi="仿宋_GB2312" w:eastAsia="仿宋_GB2312" w:cs="仿宋_GB2312"/>
          <w:sz w:val="32"/>
          <w:szCs w:val="32"/>
          <w:lang w:eastAsia="zh-CN"/>
        </w:rPr>
        <w:t>。</w:t>
      </w:r>
    </w:p>
    <w:p w14:paraId="688F21CA">
      <w:pPr>
        <w:keepNext w:val="0"/>
        <w:keepLines w:val="0"/>
        <w:pageBreakBefore w:val="0"/>
        <w:widowControl w:val="0"/>
        <w:numPr>
          <w:ilvl w:val="0"/>
          <w:numId w:val="0"/>
        </w:numPr>
        <w:tabs>
          <w:tab w:val="left" w:pos="1875"/>
        </w:tabs>
        <w:kinsoku/>
        <w:wordWrap/>
        <w:overflowPunct/>
        <w:topLinePunct w:val="0"/>
        <w:autoSpaceDE/>
        <w:autoSpaceDN/>
        <w:bidi w:val="0"/>
        <w:adjustRightInd/>
        <w:snapToGrid/>
        <w:spacing w:line="560" w:lineRule="exact"/>
        <w:ind w:left="0" w:leftChars="0" w:firstLine="640" w:firstLineChars="200"/>
        <w:jc w:val="left"/>
        <w:textAlignment w:val="auto"/>
        <w:outlineLvl w:val="1"/>
        <w:rPr>
          <w:rFonts w:hint="eastAsia" w:ascii="楷体_GB2312" w:hAnsi="楷体_GB2312" w:eastAsia="楷体_GB2312" w:cs="楷体_GB2312"/>
          <w:b w:val="0"/>
          <w:bCs w:val="0"/>
          <w:sz w:val="32"/>
          <w:szCs w:val="32"/>
          <w:lang w:val="en-US" w:eastAsia="zh-CN"/>
        </w:rPr>
      </w:pPr>
      <w:bookmarkStart w:id="26" w:name="_Toc2366"/>
      <w:bookmarkStart w:id="27" w:name="_Toc483"/>
      <w:r>
        <w:rPr>
          <w:rFonts w:hint="eastAsia" w:ascii="楷体_GB2312" w:hAnsi="楷体_GB2312" w:eastAsia="楷体_GB2312" w:cs="楷体_GB2312"/>
          <w:b w:val="0"/>
          <w:bCs w:val="0"/>
          <w:sz w:val="32"/>
          <w:szCs w:val="32"/>
          <w:lang w:val="en-US" w:eastAsia="zh-CN"/>
        </w:rPr>
        <w:t>（二）对事故有关责任人员和责任单位的行政处罚建议</w:t>
      </w:r>
      <w:bookmarkEnd w:id="26"/>
      <w:bookmarkEnd w:id="27"/>
    </w:p>
    <w:p w14:paraId="49536F6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1.郜学文，绿叶环保公司搅拌机操作员，</w:t>
      </w:r>
      <w:r>
        <w:rPr>
          <w:rFonts w:hint="eastAsia" w:ascii="仿宋_GB2312" w:hAnsi="仿宋_GB2312" w:eastAsia="仿宋_GB2312" w:cs="仿宋_GB2312"/>
          <w:color w:val="000000"/>
          <w:kern w:val="0"/>
          <w:sz w:val="32"/>
          <w:szCs w:val="32"/>
          <w:u w:val="none"/>
          <w:lang w:val="en-US" w:eastAsia="zh-CN" w:bidi="ar"/>
        </w:rPr>
        <w:t>未严格执行公司制定的搅拌机操作工安全操作</w:t>
      </w:r>
      <w:r>
        <w:rPr>
          <w:rFonts w:hint="eastAsia" w:ascii="仿宋_GB2312" w:hAnsi="仿宋_GB2312" w:eastAsia="仿宋_GB2312" w:cs="仿宋_GB2312"/>
          <w:b w:val="0"/>
          <w:bCs w:val="0"/>
          <w:color w:val="000000"/>
          <w:kern w:val="0"/>
          <w:sz w:val="32"/>
          <w:szCs w:val="32"/>
          <w:u w:val="none"/>
          <w:lang w:val="en-US" w:eastAsia="zh-CN" w:bidi="ar"/>
        </w:rPr>
        <w:t>规程，</w:t>
      </w:r>
      <w:r>
        <w:rPr>
          <w:rFonts w:hint="eastAsia" w:ascii="仿宋_GB2312" w:hAnsi="仿宋_GB2312" w:eastAsia="仿宋_GB2312" w:cs="仿宋_GB2312"/>
          <w:color w:val="000000"/>
          <w:kern w:val="0"/>
          <w:sz w:val="32"/>
          <w:szCs w:val="32"/>
          <w:u w:val="none"/>
          <w:lang w:val="en-US" w:eastAsia="zh-CN" w:bidi="ar"/>
        </w:rPr>
        <w:t>对事故负有直接责任，建议</w:t>
      </w:r>
      <w:r>
        <w:rPr>
          <w:rFonts w:hint="eastAsia" w:ascii="仿宋_GB2312" w:hAnsi="仿宋_GB2312" w:eastAsia="仿宋_GB2312" w:cs="仿宋_GB2312"/>
          <w:b w:val="0"/>
          <w:bCs w:val="0"/>
          <w:sz w:val="32"/>
          <w:szCs w:val="32"/>
          <w:lang w:val="en-US" w:eastAsia="zh-CN"/>
        </w:rPr>
        <w:t>绿叶环保公司按照公司相关规定对其进行处罚</w:t>
      </w:r>
      <w:r>
        <w:rPr>
          <w:rFonts w:hint="eastAsia" w:ascii="仿宋_GB2312" w:hAnsi="仿宋_GB2312" w:eastAsia="仿宋_GB2312" w:cs="仿宋_GB2312"/>
          <w:color w:val="000000"/>
          <w:kern w:val="0"/>
          <w:sz w:val="32"/>
          <w:szCs w:val="32"/>
          <w:u w:val="none"/>
          <w:lang w:val="en-US" w:eastAsia="zh-CN" w:bidi="ar"/>
        </w:rPr>
        <w:t>。</w:t>
      </w:r>
    </w:p>
    <w:p w14:paraId="37AF1974">
      <w:pPr>
        <w:keepNext w:val="0"/>
        <w:keepLines w:val="0"/>
        <w:pageBreakBefore w:val="0"/>
        <w:widowControl w:val="0"/>
        <w:numPr>
          <w:ilvl w:val="0"/>
          <w:numId w:val="0"/>
        </w:numPr>
        <w:tabs>
          <w:tab w:val="left" w:pos="1875"/>
        </w:tabs>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val="0"/>
          <w:bCs w:val="0"/>
          <w:sz w:val="32"/>
          <w:szCs w:val="32"/>
          <w:lang w:val="en-US" w:eastAsia="zh-CN"/>
        </w:rPr>
        <w:t>2.绿叶环保</w:t>
      </w:r>
      <w:r>
        <w:rPr>
          <w:rFonts w:hint="eastAsia" w:ascii="仿宋_GB2312" w:hAnsi="仿宋_GB2312" w:eastAsia="仿宋_GB2312" w:cs="仿宋_GB2312"/>
          <w:color w:val="000000"/>
          <w:kern w:val="0"/>
          <w:sz w:val="32"/>
          <w:szCs w:val="32"/>
          <w:lang w:eastAsia="zh-CN"/>
        </w:rPr>
        <w:t>公司对事故发生负有责任，建议按照《中华人民共和国安全生产法》第</w:t>
      </w:r>
      <w:r>
        <w:rPr>
          <w:rFonts w:hint="eastAsia" w:ascii="仿宋_GB2312" w:hAnsi="仿宋_GB2312" w:eastAsia="仿宋_GB2312" w:cs="仿宋_GB2312"/>
          <w:color w:val="000000"/>
          <w:kern w:val="0"/>
          <w:sz w:val="32"/>
          <w:szCs w:val="32"/>
          <w:lang w:val="en-US" w:eastAsia="zh-CN"/>
        </w:rPr>
        <w:t>一百一十四</w:t>
      </w:r>
      <w:r>
        <w:rPr>
          <w:rFonts w:hint="eastAsia" w:ascii="仿宋_GB2312" w:hAnsi="仿宋_GB2312" w:eastAsia="仿宋_GB2312" w:cs="仿宋_GB2312"/>
          <w:color w:val="000000"/>
          <w:kern w:val="0"/>
          <w:sz w:val="32"/>
          <w:szCs w:val="32"/>
          <w:lang w:eastAsia="zh-CN"/>
        </w:rPr>
        <w:t>条第一项</w:t>
      </w:r>
      <w:r>
        <w:rPr>
          <w:rStyle w:val="14"/>
          <w:rFonts w:hint="eastAsia" w:ascii="仿宋_GB2312" w:hAnsi="仿宋_GB2312" w:eastAsia="仿宋_GB2312" w:cs="仿宋_GB2312"/>
          <w:color w:val="auto"/>
          <w:kern w:val="0"/>
          <w:sz w:val="32"/>
          <w:szCs w:val="32"/>
          <w:lang w:eastAsia="zh-CN"/>
        </w:rPr>
        <w:t>[</w:t>
      </w:r>
      <w:r>
        <w:rPr>
          <w:rStyle w:val="14"/>
          <w:rFonts w:hint="eastAsia" w:ascii="仿宋_GB2312" w:hAnsi="仿宋_GB2312" w:eastAsia="仿宋_GB2312" w:cs="仿宋_GB2312"/>
          <w:color w:val="auto"/>
          <w:kern w:val="0"/>
          <w:sz w:val="32"/>
          <w:szCs w:val="32"/>
          <w:lang w:eastAsia="zh-CN"/>
        </w:rPr>
        <w:footnoteReference w:id="4"/>
      </w:r>
      <w:r>
        <w:rPr>
          <w:rStyle w:val="14"/>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snapToGrid w:val="0"/>
          <w:kern w:val="0"/>
          <w:sz w:val="32"/>
          <w:szCs w:val="32"/>
          <w:lang w:val="en-US" w:eastAsia="zh-CN" w:bidi="ar-SA"/>
        </w:rPr>
        <w:t>和《生产安全事故罚款处罚规定》第十四条第二项规定</w:t>
      </w:r>
      <w:r>
        <w:rPr>
          <w:rStyle w:val="14"/>
          <w:rFonts w:hint="eastAsia" w:ascii="仿宋_GB2312" w:hAnsi="仿宋_GB2312" w:eastAsia="仿宋_GB2312" w:cs="仿宋_GB2312"/>
          <w:snapToGrid w:val="0"/>
          <w:kern w:val="0"/>
          <w:sz w:val="32"/>
          <w:szCs w:val="32"/>
          <w:lang w:val="en-US" w:eastAsia="zh-CN" w:bidi="ar-SA"/>
        </w:rPr>
        <w:t>[</w:t>
      </w:r>
      <w:r>
        <w:rPr>
          <w:rStyle w:val="14"/>
          <w:rFonts w:hint="eastAsia" w:ascii="仿宋_GB2312" w:hAnsi="仿宋_GB2312" w:eastAsia="仿宋_GB2312" w:cs="仿宋_GB2312"/>
          <w:snapToGrid w:val="0"/>
          <w:kern w:val="0"/>
          <w:sz w:val="32"/>
          <w:szCs w:val="32"/>
          <w:lang w:val="en-US" w:eastAsia="zh-CN" w:bidi="ar-SA"/>
        </w:rPr>
        <w:footnoteReference w:id="5"/>
      </w:r>
      <w:r>
        <w:rPr>
          <w:rStyle w:val="14"/>
          <w:rFonts w:hint="eastAsia" w:ascii="仿宋_GB2312" w:hAnsi="仿宋_GB2312" w:eastAsia="仿宋_GB2312" w:cs="仿宋_GB2312"/>
          <w:snapToGrid w:val="0"/>
          <w:kern w:val="0"/>
          <w:sz w:val="32"/>
          <w:szCs w:val="32"/>
          <w:lang w:val="en-US" w:eastAsia="zh-CN" w:bidi="ar-SA"/>
        </w:rPr>
        <w:t>]</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对</w:t>
      </w:r>
      <w:r>
        <w:rPr>
          <w:rFonts w:hint="eastAsia" w:ascii="仿宋_GB2312" w:hAnsi="仿宋_GB2312" w:eastAsia="仿宋_GB2312" w:cs="仿宋_GB2312"/>
          <w:b w:val="0"/>
          <w:bCs w:val="0"/>
          <w:sz w:val="32"/>
          <w:szCs w:val="32"/>
          <w:lang w:val="en-US" w:eastAsia="zh-CN"/>
        </w:rPr>
        <w:t>绿叶环保</w:t>
      </w:r>
      <w:r>
        <w:rPr>
          <w:rFonts w:hint="eastAsia" w:ascii="仿宋_GB2312" w:hAnsi="仿宋_GB2312" w:eastAsia="仿宋_GB2312" w:cs="仿宋_GB2312"/>
          <w:color w:val="000000"/>
          <w:kern w:val="0"/>
          <w:sz w:val="32"/>
          <w:szCs w:val="32"/>
          <w:lang w:eastAsia="zh-CN"/>
        </w:rPr>
        <w:t>公司</w:t>
      </w:r>
      <w:r>
        <w:rPr>
          <w:rFonts w:hint="eastAsia" w:ascii="仿宋_GB2312" w:hAnsi="仿宋_GB2312" w:eastAsia="仿宋_GB2312" w:cs="仿宋_GB2312"/>
          <w:color w:val="000000"/>
          <w:kern w:val="0"/>
          <w:sz w:val="32"/>
          <w:szCs w:val="32"/>
        </w:rPr>
        <w:t>处</w:t>
      </w:r>
      <w:r>
        <w:rPr>
          <w:rFonts w:hint="eastAsia" w:ascii="仿宋_GB2312" w:hAnsi="仿宋_GB2312" w:eastAsia="仿宋_GB2312" w:cs="仿宋_GB2312"/>
          <w:color w:val="000000"/>
          <w:kern w:val="0"/>
          <w:sz w:val="32"/>
          <w:szCs w:val="32"/>
          <w:lang w:val="en-US" w:eastAsia="zh-CN"/>
        </w:rPr>
        <w:t>50</w:t>
      </w:r>
      <w:r>
        <w:rPr>
          <w:rFonts w:hint="eastAsia" w:ascii="仿宋_GB2312" w:hAnsi="仿宋_GB2312" w:eastAsia="仿宋_GB2312" w:cs="仿宋_GB2312"/>
          <w:color w:val="000000"/>
          <w:kern w:val="0"/>
          <w:sz w:val="32"/>
          <w:szCs w:val="32"/>
          <w:u w:val="none"/>
        </w:rPr>
        <w:t>万</w:t>
      </w:r>
      <w:r>
        <w:rPr>
          <w:rFonts w:hint="eastAsia" w:ascii="仿宋_GB2312" w:hAnsi="仿宋_GB2312" w:eastAsia="仿宋_GB2312" w:cs="仿宋_GB2312"/>
          <w:color w:val="000000"/>
          <w:kern w:val="0"/>
          <w:sz w:val="32"/>
          <w:szCs w:val="32"/>
        </w:rPr>
        <w:t>元</w:t>
      </w:r>
      <w:r>
        <w:rPr>
          <w:rFonts w:hint="eastAsia" w:ascii="仿宋_GB2312" w:hAnsi="仿宋_GB2312" w:eastAsia="仿宋_GB2312" w:cs="仿宋_GB2312"/>
          <w:color w:val="000000"/>
          <w:kern w:val="0"/>
          <w:sz w:val="32"/>
          <w:szCs w:val="32"/>
          <w:lang w:eastAsia="zh-CN"/>
        </w:rPr>
        <w:t>的</w:t>
      </w:r>
      <w:r>
        <w:rPr>
          <w:rFonts w:hint="eastAsia" w:ascii="仿宋_GB2312" w:hAnsi="仿宋_GB2312" w:eastAsia="仿宋_GB2312" w:cs="仿宋_GB2312"/>
          <w:color w:val="000000"/>
          <w:kern w:val="0"/>
          <w:sz w:val="32"/>
          <w:szCs w:val="32"/>
        </w:rPr>
        <w:t>罚款。</w:t>
      </w:r>
    </w:p>
    <w:p w14:paraId="18DCFAC7">
      <w:pPr>
        <w:keepNext w:val="0"/>
        <w:keepLines w:val="0"/>
        <w:pageBreakBefore w:val="0"/>
        <w:widowControl w:val="0"/>
        <w:numPr>
          <w:ilvl w:val="0"/>
          <w:numId w:val="0"/>
        </w:numPr>
        <w:tabs>
          <w:tab w:val="left" w:pos="1875"/>
        </w:tabs>
        <w:kinsoku/>
        <w:wordWrap/>
        <w:overflowPunct/>
        <w:topLinePunct w:val="0"/>
        <w:autoSpaceDE/>
        <w:autoSpaceDN/>
        <w:bidi w:val="0"/>
        <w:adjustRightInd/>
        <w:snapToGrid/>
        <w:spacing w:line="560" w:lineRule="exact"/>
        <w:ind w:left="0" w:leftChars="0" w:firstLine="640" w:firstLineChars="200"/>
        <w:jc w:val="left"/>
        <w:textAlignment w:val="auto"/>
        <w:outlineLvl w:val="1"/>
        <w:rPr>
          <w:rFonts w:hint="eastAsia" w:ascii="楷体_GB2312" w:hAnsi="楷体_GB2312" w:eastAsia="楷体_GB2312" w:cs="楷体_GB2312"/>
          <w:b w:val="0"/>
          <w:bCs w:val="0"/>
          <w:sz w:val="32"/>
          <w:szCs w:val="32"/>
          <w:lang w:val="en-US" w:eastAsia="zh-CN"/>
        </w:rPr>
      </w:pPr>
      <w:bookmarkStart w:id="28" w:name="_Toc15025"/>
      <w:bookmarkStart w:id="29" w:name="_Toc29902"/>
      <w:r>
        <w:rPr>
          <w:rFonts w:hint="eastAsia" w:ascii="楷体_GB2312" w:hAnsi="楷体_GB2312" w:eastAsia="楷体_GB2312" w:cs="楷体_GB2312"/>
          <w:b w:val="0"/>
          <w:bCs w:val="0"/>
          <w:sz w:val="32"/>
          <w:szCs w:val="32"/>
          <w:lang w:val="en-US" w:eastAsia="zh-CN"/>
        </w:rPr>
        <w:t>（三）对有关公职人员的处理建议</w:t>
      </w:r>
      <w:bookmarkEnd w:id="28"/>
      <w:bookmarkEnd w:id="29"/>
    </w:p>
    <w:p w14:paraId="1C4A8098">
      <w:pPr>
        <w:keepNext w:val="0"/>
        <w:keepLines w:val="0"/>
        <w:pageBreakBefore w:val="0"/>
        <w:widowControl w:val="0"/>
        <w:tabs>
          <w:tab w:val="left" w:pos="1875"/>
        </w:tabs>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在事故调查中，发现地方政府监管部门相关人员存在履职方面的问题及相关材料，已移交市纪委监委追责问责审查调查组处理。</w:t>
      </w:r>
    </w:p>
    <w:p w14:paraId="04981C76">
      <w:pPr>
        <w:keepNext w:val="0"/>
        <w:keepLines w:val="0"/>
        <w:pageBreakBefore w:val="0"/>
        <w:widowControl w:val="0"/>
        <w:tabs>
          <w:tab w:val="left" w:pos="1875"/>
        </w:tabs>
        <w:kinsoku/>
        <w:wordWrap/>
        <w:overflowPunct/>
        <w:topLinePunct w:val="0"/>
        <w:autoSpaceDE/>
        <w:autoSpaceDN/>
        <w:bidi w:val="0"/>
        <w:adjustRightInd/>
        <w:snapToGrid/>
        <w:spacing w:line="560" w:lineRule="exact"/>
        <w:ind w:left="0" w:leftChars="0" w:firstLine="640" w:firstLineChars="200"/>
        <w:jc w:val="left"/>
        <w:textAlignment w:val="auto"/>
        <w:outlineLvl w:val="1"/>
        <w:rPr>
          <w:rFonts w:hint="eastAsia" w:ascii="楷体_GB2312" w:hAnsi="楷体_GB2312" w:eastAsia="楷体_GB2312" w:cs="楷体_GB2312"/>
          <w:sz w:val="32"/>
          <w:szCs w:val="32"/>
          <w:lang w:val="en-US" w:eastAsia="zh-CN"/>
        </w:rPr>
      </w:pPr>
      <w:bookmarkStart w:id="30" w:name="_Toc2455"/>
      <w:bookmarkStart w:id="31" w:name="_Toc9624"/>
      <w:r>
        <w:rPr>
          <w:rFonts w:hint="eastAsia" w:ascii="楷体_GB2312" w:hAnsi="楷体_GB2312" w:eastAsia="楷体_GB2312" w:cs="楷体_GB2312"/>
          <w:sz w:val="32"/>
          <w:szCs w:val="32"/>
          <w:lang w:val="en-US" w:eastAsia="zh-CN"/>
        </w:rPr>
        <w:t>（四）其他处理建议</w:t>
      </w:r>
      <w:bookmarkEnd w:id="30"/>
      <w:bookmarkEnd w:id="31"/>
    </w:p>
    <w:p w14:paraId="331DAE3D">
      <w:pPr>
        <w:keepNext w:val="0"/>
        <w:keepLines w:val="0"/>
        <w:pageBreakBefore w:val="0"/>
        <w:widowControl w:val="0"/>
        <w:tabs>
          <w:tab w:val="left" w:pos="1875"/>
        </w:tabs>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1.禹州市工业和信息化局未认真落实行业管理责任，建议责成禹州市工业和信息化局向禹州市人民政府作出深刻检查。</w:t>
      </w:r>
    </w:p>
    <w:p w14:paraId="1B6D369E">
      <w:pPr>
        <w:keepNext w:val="0"/>
        <w:keepLines w:val="0"/>
        <w:pageBreakBefore w:val="0"/>
        <w:widowControl w:val="0"/>
        <w:tabs>
          <w:tab w:val="left" w:pos="1875"/>
        </w:tabs>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sz w:val="32"/>
          <w:szCs w:val="32"/>
          <w:lang w:val="en-US" w:eastAsia="zh-CN"/>
        </w:rPr>
        <w:t>2.火龙镇人民政府未认真落实属地监管责任，建议责成火龙镇人民政府向禹州市人民政府作出深刻检查。</w:t>
      </w:r>
    </w:p>
    <w:p w14:paraId="02B5BB04">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640" w:firstLineChars="200"/>
        <w:jc w:val="left"/>
        <w:textAlignment w:val="auto"/>
        <w:outlineLvl w:val="0"/>
        <w:rPr>
          <w:rFonts w:hint="eastAsia" w:ascii="黑体" w:hAnsi="黑体" w:eastAsia="黑体" w:cs="黑体"/>
          <w:kern w:val="2"/>
          <w:sz w:val="32"/>
          <w:szCs w:val="32"/>
          <w:lang w:val="en-US" w:eastAsia="zh-CN" w:bidi="ar-SA"/>
        </w:rPr>
      </w:pPr>
      <w:bookmarkStart w:id="32" w:name="_Toc27087"/>
      <w:bookmarkStart w:id="33" w:name="_Toc2893"/>
      <w:r>
        <w:rPr>
          <w:rFonts w:hint="eastAsia" w:ascii="黑体" w:hAnsi="黑体" w:eastAsia="黑体" w:cs="黑体"/>
          <w:kern w:val="2"/>
          <w:sz w:val="32"/>
          <w:szCs w:val="32"/>
          <w:lang w:val="en-US" w:eastAsia="zh-CN" w:bidi="ar-SA"/>
        </w:rPr>
        <w:t>六、事故整改和防范措施</w:t>
      </w:r>
      <w:bookmarkEnd w:id="32"/>
      <w:bookmarkEnd w:id="33"/>
    </w:p>
    <w:p w14:paraId="5A839B16">
      <w:pPr>
        <w:keepNext w:val="0"/>
        <w:keepLines w:val="0"/>
        <w:pageBreakBefore w:val="0"/>
        <w:widowControl w:val="0"/>
        <w:tabs>
          <w:tab w:val="left" w:pos="1875"/>
        </w:tabs>
        <w:kinsoku/>
        <w:wordWrap/>
        <w:overflowPunct/>
        <w:topLinePunct w:val="0"/>
        <w:autoSpaceDE/>
        <w:autoSpaceDN/>
        <w:bidi w:val="0"/>
        <w:adjustRightInd/>
        <w:snapToGrid/>
        <w:spacing w:line="560" w:lineRule="exact"/>
        <w:ind w:left="0" w:leftChars="0" w:firstLine="640" w:firstLineChars="200"/>
        <w:jc w:val="left"/>
        <w:textAlignment w:val="auto"/>
        <w:outlineLvl w:val="1"/>
        <w:rPr>
          <w:rFonts w:hint="eastAsia" w:ascii="楷体_GB2312" w:hAnsi="楷体_GB2312" w:eastAsia="楷体_GB2312" w:cs="楷体_GB2312"/>
          <w:sz w:val="32"/>
          <w:szCs w:val="32"/>
          <w:lang w:val="en-US" w:eastAsia="zh-CN"/>
        </w:rPr>
      </w:pPr>
      <w:bookmarkStart w:id="34" w:name="_Toc18003"/>
      <w:bookmarkStart w:id="35" w:name="_Toc27625"/>
      <w:r>
        <w:rPr>
          <w:rFonts w:hint="eastAsia" w:ascii="楷体_GB2312" w:hAnsi="楷体_GB2312" w:eastAsia="楷体_GB2312" w:cs="楷体_GB2312"/>
          <w:sz w:val="32"/>
          <w:szCs w:val="32"/>
          <w:lang w:val="en-US" w:eastAsia="zh-CN"/>
        </w:rPr>
        <w:t>（一）认真对照安全监管职责，进一步强化安全生产红线意识</w:t>
      </w:r>
      <w:bookmarkEnd w:id="34"/>
      <w:bookmarkEnd w:id="35"/>
    </w:p>
    <w:p w14:paraId="7834EBA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kern w:val="0"/>
          <w:sz w:val="32"/>
          <w:szCs w:val="32"/>
          <w:lang w:val="en-US" w:eastAsia="zh-CN"/>
        </w:rPr>
        <w:t>全市各级各部门要深刻汲取事故教训，深入贯彻落实习近平总书记关于安全生产系列重要指示精神，进一步强化以人为本、安全发展理念，牢固坚守“发展决不能以牺牲人的生命为代价”这条红线，</w:t>
      </w:r>
      <w:r>
        <w:rPr>
          <w:rFonts w:hint="eastAsia" w:ascii="仿宋_GB2312" w:hAnsi="仿宋_GB2312" w:eastAsia="仿宋_GB2312" w:cs="仿宋_GB2312"/>
          <w:sz w:val="32"/>
          <w:szCs w:val="32"/>
          <w:lang w:val="en-US" w:eastAsia="zh-CN"/>
        </w:rPr>
        <w:t>按照“三管三必须”的要求，进一步完善监管机制措施，加强日常监督检查，</w:t>
      </w:r>
      <w:r>
        <w:rPr>
          <w:rFonts w:hint="eastAsia" w:ascii="仿宋_GB2312" w:hAnsi="仿宋_GB2312" w:eastAsia="仿宋_GB2312" w:cs="仿宋_GB2312"/>
          <w:kern w:val="0"/>
          <w:sz w:val="32"/>
          <w:szCs w:val="32"/>
          <w:lang w:val="en-US" w:eastAsia="zh-CN"/>
        </w:rPr>
        <w:t>全面落实各行业、各部门、各环节的安全管理责任，采取强有力措施，全面排查整治事故隐患，切实提高安全管理水平，坚决防止各类事故发生。</w:t>
      </w:r>
    </w:p>
    <w:p w14:paraId="46FDBB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outlineLvl w:val="1"/>
        <w:rPr>
          <w:rFonts w:hint="eastAsia" w:ascii="楷体_GB2312" w:hAnsi="楷体_GB2312" w:eastAsia="楷体_GB2312" w:cs="楷体_GB2312"/>
          <w:kern w:val="0"/>
          <w:sz w:val="32"/>
          <w:szCs w:val="32"/>
          <w:lang w:val="en-US" w:eastAsia="zh-CN"/>
        </w:rPr>
      </w:pPr>
      <w:bookmarkStart w:id="36" w:name="_Toc26379"/>
      <w:bookmarkStart w:id="37" w:name="_Toc19838"/>
      <w:r>
        <w:rPr>
          <w:rFonts w:hint="eastAsia" w:ascii="楷体_GB2312" w:hAnsi="楷体_GB2312" w:eastAsia="楷体_GB2312" w:cs="楷体_GB2312"/>
          <w:kern w:val="0"/>
          <w:sz w:val="32"/>
          <w:szCs w:val="32"/>
          <w:lang w:val="en-US" w:eastAsia="zh-CN"/>
        </w:rPr>
        <w:t>（二）深刻汲取事故教训，严格落实企业安全生产主体责任</w:t>
      </w:r>
      <w:bookmarkEnd w:id="36"/>
      <w:bookmarkEnd w:id="37"/>
    </w:p>
    <w:p w14:paraId="47C2ED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绿叶环保公司要深刻汲取事故教训，落实企业安全生产主体责任，完善并严格执行以安全生产责任制为重点的各项规章制度和操作规程，特别是要针对安全管理的薄弱环节，把安全生产责任落实到岗位、落实到个人，消除安全管理盲区和漏洞；强化日常安全管理、落实安全防范措施、加强员工安全教育培训、安全警示教育等工作；配备安全生产管理人员，强化作业现场的安全管理，坚决杜绝安全管理图形式、走过场，认真组织开展企业隐患排查治理，消除事故隐患，杜绝生产安全事故发生。</w:t>
      </w:r>
    </w:p>
    <w:p w14:paraId="3F01C9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outlineLvl w:val="1"/>
        <w:rPr>
          <w:rFonts w:hint="eastAsia" w:ascii="楷体" w:hAnsi="楷体" w:eastAsia="楷体" w:cs="楷体"/>
          <w:kern w:val="0"/>
          <w:sz w:val="32"/>
          <w:szCs w:val="32"/>
          <w:lang w:val="en-US" w:eastAsia="zh-CN"/>
        </w:rPr>
      </w:pPr>
      <w:bookmarkStart w:id="38" w:name="_Toc22857"/>
      <w:bookmarkStart w:id="39" w:name="_Toc29745"/>
      <w:r>
        <w:rPr>
          <w:rFonts w:hint="eastAsia" w:ascii="楷体_GB2312" w:hAnsi="楷体_GB2312" w:eastAsia="楷体_GB2312" w:cs="楷体_GB2312"/>
          <w:kern w:val="0"/>
          <w:sz w:val="32"/>
          <w:szCs w:val="32"/>
          <w:lang w:val="en-US" w:eastAsia="zh-CN"/>
        </w:rPr>
        <w:t>（三）切实提升政治站位，强化属地监管责任</w:t>
      </w:r>
      <w:bookmarkEnd w:id="38"/>
      <w:bookmarkEnd w:id="39"/>
    </w:p>
    <w:p w14:paraId="055ACD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火龙镇人民政府要认真履行属地监管职责，全面构建党政同责、一岗双责、失职追责的安全生产责任体系；加大对生产经营单位安全生产的监管力度，要充分利用全镇安全监管人员网格化管理体系，做到对辖区企业安全监管全覆盖；督促企业认真落实安全生产主体责任，坚决防范各类安全事故发生，推动本辖区安全生产总体形势稳定与好转。</w:t>
      </w:r>
    </w:p>
    <w:p w14:paraId="5142FC27">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eastAsia" w:ascii="仿宋_GB2312" w:hAnsi="仿宋_GB2312" w:eastAsia="仿宋_GB2312" w:cs="仿宋_GB2312"/>
          <w:kern w:val="0"/>
          <w:sz w:val="32"/>
          <w:szCs w:val="32"/>
          <w:lang w:val="en-US" w:eastAsia="zh-CN"/>
        </w:rPr>
      </w:pPr>
    </w:p>
    <w:p w14:paraId="40ED8A6E">
      <w:pPr>
        <w:keepNext w:val="0"/>
        <w:keepLines w:val="0"/>
        <w:pageBreakBefore w:val="0"/>
        <w:widowControl w:val="0"/>
        <w:kinsoku/>
        <w:wordWrap/>
        <w:overflowPunct/>
        <w:topLinePunct w:val="0"/>
        <w:autoSpaceDE/>
        <w:autoSpaceDN/>
        <w:bidi w:val="0"/>
        <w:adjustRightInd/>
        <w:snapToGrid/>
        <w:spacing w:line="560" w:lineRule="exact"/>
        <w:textAlignment w:val="auto"/>
      </w:pPr>
    </w:p>
    <w:sectPr>
      <w:headerReference r:id="rId4" w:type="default"/>
      <w:footerReference r:id="rId5" w:type="default"/>
      <w:pgSz w:w="11906" w:h="16838"/>
      <w:pgMar w:top="1587" w:right="1474" w:bottom="1587"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A8A6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7CD8E4">
                          <w:pPr>
                            <w:pStyle w:val="6"/>
                          </w:pPr>
                          <w:r>
                            <w:t xml:space="preserve">— </w:t>
                          </w:r>
                          <w:r>
                            <w:fldChar w:fldCharType="begin"/>
                          </w:r>
                          <w:r>
                            <w:instrText xml:space="preserve"> PAGE  \* MERGEFORMAT </w:instrText>
                          </w:r>
                          <w:r>
                            <w:fldChar w:fldCharType="separate"/>
                          </w:r>
                          <w:r>
                            <w:t>14</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87CD8E4">
                    <w:pPr>
                      <w:pStyle w:val="6"/>
                    </w:pPr>
                    <w:r>
                      <w:t xml:space="preserve">— </w:t>
                    </w:r>
                    <w:r>
                      <w:fldChar w:fldCharType="begin"/>
                    </w:r>
                    <w:r>
                      <w:instrText xml:space="preserve"> PAGE  \* MERGEFORMAT </w:instrText>
                    </w:r>
                    <w:r>
                      <w:fldChar w:fldCharType="separate"/>
                    </w:r>
                    <w:r>
                      <w:t>14</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2">
    <w:p>
      <w:r>
        <w:separator/>
      </w:r>
    </w:p>
  </w:footnote>
  <w:footnote w:type="continuationSeparator" w:id="13">
    <w:p>
      <w:r>
        <w:continuationSeparator/>
      </w:r>
    </w:p>
  </w:footnote>
  <w:footnote w:id="0">
    <w:p w14:paraId="44C35F7F">
      <w:pPr>
        <w:pStyle w:val="9"/>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lang w:eastAsia="zh-CN"/>
        </w:rPr>
      </w:pPr>
      <w:r>
        <w:rPr>
          <w:rStyle w:val="14"/>
          <w:rFonts w:hint="eastAsia" w:ascii="宋体" w:hAnsi="宋体" w:eastAsia="宋体" w:cs="宋体"/>
        </w:rPr>
        <w:t>[</w:t>
      </w:r>
      <w:r>
        <w:rPr>
          <w:rStyle w:val="14"/>
          <w:rFonts w:hint="eastAsia" w:ascii="宋体" w:hAnsi="宋体" w:eastAsia="宋体" w:cs="宋体"/>
        </w:rPr>
        <w:footnoteRef/>
      </w:r>
      <w:r>
        <w:rPr>
          <w:rStyle w:val="14"/>
          <w:rFonts w:hint="eastAsia" w:ascii="宋体" w:hAnsi="宋体" w:eastAsia="宋体" w:cs="宋体"/>
        </w:rPr>
        <w:t>]</w:t>
      </w:r>
      <w:r>
        <w:rPr>
          <w:rFonts w:hint="eastAsia" w:ascii="宋体" w:hAnsi="宋体" w:eastAsia="宋体" w:cs="宋体"/>
          <w:lang w:val="en-US" w:eastAsia="zh-CN"/>
        </w:rPr>
        <w:t xml:space="preserve"> </w:t>
      </w:r>
      <w:r>
        <w:rPr>
          <w:rFonts w:hint="eastAsia" w:ascii="宋体" w:hAnsi="宋体" w:eastAsia="宋体" w:cs="宋体"/>
          <w:lang w:eastAsia="zh-CN"/>
        </w:rPr>
        <w:t>绿叶环保公司制定的《搅拌机操作工安全操作规程》第一条：开动搅拌机前应检查，离合器、制动器、钢丝绳等应良好，滚筒内不得有异物。</w:t>
      </w:r>
    </w:p>
  </w:footnote>
  <w:footnote w:id="1">
    <w:p w14:paraId="68A91FEF">
      <w:pPr>
        <w:pStyle w:val="2"/>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textAlignment w:val="auto"/>
      </w:pPr>
      <w:r>
        <w:rPr>
          <w:rStyle w:val="14"/>
          <w:rFonts w:hint="eastAsia" w:ascii="宋体" w:hAnsi="宋体" w:eastAsia="宋体" w:cs="宋体"/>
          <w:sz w:val="18"/>
          <w:szCs w:val="18"/>
        </w:rPr>
        <w:t>[</w:t>
      </w:r>
      <w:r>
        <w:rPr>
          <w:rStyle w:val="14"/>
          <w:rFonts w:hint="eastAsia" w:ascii="宋体" w:hAnsi="宋体" w:eastAsia="宋体" w:cs="宋体"/>
          <w:sz w:val="18"/>
          <w:szCs w:val="18"/>
        </w:rPr>
        <w:footnoteRef/>
      </w:r>
      <w:r>
        <w:rPr>
          <w:rStyle w:val="14"/>
          <w:rFonts w:hint="eastAsia" w:ascii="宋体" w:hAnsi="宋体" w:eastAsia="宋体" w:cs="宋体"/>
          <w:sz w:val="18"/>
          <w:szCs w:val="18"/>
        </w:rPr>
        <w:t>]</w:t>
      </w:r>
      <w:r>
        <w:rPr>
          <w:rFonts w:hint="eastAsia" w:ascii="宋体" w:hAnsi="宋体" w:cs="宋体"/>
          <w:sz w:val="18"/>
          <w:szCs w:val="18"/>
          <w:lang w:val="en-US" w:eastAsia="zh-CN"/>
        </w:rPr>
        <w:t xml:space="preserve"> </w:t>
      </w:r>
      <w:r>
        <w:rPr>
          <w:rFonts w:hint="eastAsia" w:ascii="宋体" w:hAnsi="宋体" w:eastAsia="宋体" w:cs="宋体"/>
          <w:sz w:val="18"/>
          <w:szCs w:val="18"/>
          <w:lang w:val="en-US" w:eastAsia="zh-CN"/>
        </w:rPr>
        <w:t>《中华人民共和国安全生产法</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第二十</w:t>
      </w:r>
      <w:r>
        <w:rPr>
          <w:rFonts w:hint="eastAsia" w:ascii="宋体" w:hAnsi="宋体" w:cs="宋体"/>
          <w:sz w:val="18"/>
          <w:szCs w:val="18"/>
          <w:lang w:val="en-US" w:eastAsia="zh-CN"/>
        </w:rPr>
        <w:t>四</w:t>
      </w:r>
      <w:r>
        <w:rPr>
          <w:rFonts w:hint="eastAsia" w:ascii="宋体" w:hAnsi="宋体" w:eastAsia="宋体" w:cs="宋体"/>
          <w:sz w:val="18"/>
          <w:szCs w:val="18"/>
          <w:lang w:val="en-US" w:eastAsia="zh-CN"/>
        </w:rPr>
        <w:t>条</w:t>
      </w:r>
      <w:r>
        <w:rPr>
          <w:rFonts w:hint="eastAsia" w:ascii="宋体" w:hAnsi="宋体" w:cs="宋体"/>
          <w:sz w:val="18"/>
          <w:szCs w:val="18"/>
          <w:lang w:val="en-US" w:eastAsia="zh-CN"/>
        </w:rPr>
        <w:t>第二款</w:t>
      </w:r>
      <w:r>
        <w:rPr>
          <w:rFonts w:hint="eastAsia" w:ascii="宋体" w:hAnsi="宋体" w:eastAsia="宋体" w:cs="宋体"/>
          <w:sz w:val="18"/>
          <w:szCs w:val="18"/>
          <w:lang w:val="en-US" w:eastAsia="zh-CN"/>
        </w:rPr>
        <w:t>：</w:t>
      </w:r>
      <w:r>
        <w:rPr>
          <w:rFonts w:hint="eastAsia" w:ascii="宋体" w:hAnsi="宋体" w:eastAsia="宋体" w:cs="宋体"/>
          <w:kern w:val="2"/>
          <w:sz w:val="18"/>
          <w:szCs w:val="18"/>
          <w:lang w:val="en-US" w:eastAsia="zh-CN" w:bidi="ar-SA"/>
        </w:rPr>
        <w:t>前款规定以外的其他生产经营单位，从业人员超过一百人的，应当设置安全生产管理机构或者配备专职安全生产管理人员；从业人员在一百人以下的，应当配备专职或者兼职的安全生产管理人员。</w:t>
      </w:r>
    </w:p>
  </w:footnote>
  <w:footnote w:id="2">
    <w:p w14:paraId="5DB65509">
      <w:pPr>
        <w:pStyle w:val="2"/>
        <w:keepNext w:val="0"/>
        <w:keepLines w:val="0"/>
        <w:pageBreakBefore w:val="0"/>
        <w:widowControl w:val="0"/>
        <w:kinsoku/>
        <w:wordWrap/>
        <w:overflowPunct/>
        <w:topLinePunct w:val="0"/>
        <w:autoSpaceDE/>
        <w:autoSpaceDN/>
        <w:bidi w:val="0"/>
        <w:adjustRightInd/>
        <w:snapToGrid/>
        <w:ind w:left="0" w:leftChars="0" w:firstLine="0" w:firstLineChars="0"/>
        <w:textAlignment w:val="auto"/>
      </w:pPr>
      <w:r>
        <w:rPr>
          <w:rStyle w:val="14"/>
          <w:rFonts w:hint="eastAsia" w:ascii="宋体" w:hAnsi="宋体" w:eastAsia="宋体" w:cs="宋体"/>
          <w:sz w:val="18"/>
          <w:szCs w:val="18"/>
        </w:rPr>
        <w:t>[</w:t>
      </w:r>
      <w:r>
        <w:rPr>
          <w:rStyle w:val="14"/>
          <w:rFonts w:hint="eastAsia" w:ascii="宋体" w:hAnsi="宋体" w:eastAsia="宋体" w:cs="宋体"/>
          <w:sz w:val="18"/>
          <w:szCs w:val="18"/>
        </w:rPr>
        <w:footnoteRef/>
      </w:r>
      <w:r>
        <w:rPr>
          <w:rStyle w:val="14"/>
          <w:rFonts w:hint="eastAsia" w:ascii="宋体" w:hAnsi="宋体" w:eastAsia="宋体" w:cs="宋体"/>
          <w:sz w:val="18"/>
          <w:szCs w:val="18"/>
        </w:rPr>
        <w:t>]</w:t>
      </w:r>
      <w:r>
        <w:rPr>
          <w:rFonts w:hint="eastAsia" w:ascii="宋体" w:hAnsi="宋体" w:cs="宋体"/>
          <w:sz w:val="18"/>
          <w:szCs w:val="18"/>
          <w:lang w:val="en-US" w:eastAsia="zh-CN"/>
        </w:rPr>
        <w:t xml:space="preserve"> </w:t>
      </w:r>
      <w:r>
        <w:rPr>
          <w:rFonts w:hint="eastAsia" w:ascii="宋体" w:hAnsi="宋体" w:eastAsia="宋体" w:cs="宋体"/>
          <w:sz w:val="18"/>
          <w:szCs w:val="18"/>
          <w:lang w:val="en-US" w:eastAsia="zh-CN"/>
        </w:rPr>
        <w:t>《中华人民共和国安全生产法</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第二十</w:t>
      </w:r>
      <w:r>
        <w:rPr>
          <w:rFonts w:hint="eastAsia" w:ascii="宋体" w:hAnsi="宋体" w:cs="宋体"/>
          <w:sz w:val="18"/>
          <w:szCs w:val="18"/>
          <w:lang w:val="en-US" w:eastAsia="zh-CN"/>
        </w:rPr>
        <w:t>八</w:t>
      </w:r>
      <w:r>
        <w:rPr>
          <w:rFonts w:hint="eastAsia" w:ascii="宋体" w:hAnsi="宋体" w:eastAsia="宋体" w:cs="宋体"/>
          <w:sz w:val="18"/>
          <w:szCs w:val="18"/>
          <w:lang w:val="en-US" w:eastAsia="zh-CN"/>
        </w:rPr>
        <w:t>条</w:t>
      </w:r>
      <w:r>
        <w:rPr>
          <w:rFonts w:hint="eastAsia" w:ascii="宋体" w:hAnsi="宋体" w:cs="宋体"/>
          <w:sz w:val="18"/>
          <w:szCs w:val="18"/>
          <w:lang w:val="en-US" w:eastAsia="zh-CN"/>
        </w:rPr>
        <w:t>第四款</w:t>
      </w:r>
      <w:r>
        <w:rPr>
          <w:rFonts w:hint="eastAsia" w:ascii="宋体" w:hAnsi="宋体" w:eastAsia="宋体" w:cs="宋体"/>
          <w:sz w:val="18"/>
          <w:szCs w:val="18"/>
          <w:lang w:val="en-US" w:eastAsia="zh-CN"/>
        </w:rPr>
        <w:t>：生产经营单位应当建立安全生产教育和培训档案，如实记录安全生产教育和培训的时间、内容、参加人员以及考核结果等情况。</w:t>
      </w:r>
    </w:p>
  </w:footnote>
  <w:footnote w:id="3">
    <w:p w14:paraId="11F1C582">
      <w:pPr>
        <w:pStyle w:val="2"/>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eastAsia="宋体" w:cs="宋体"/>
          <w:sz w:val="18"/>
          <w:szCs w:val="18"/>
          <w:lang w:val="en-US" w:eastAsia="zh-CN"/>
        </w:rPr>
      </w:pPr>
      <w:r>
        <w:rPr>
          <w:rStyle w:val="14"/>
          <w:rFonts w:hint="eastAsia" w:ascii="宋体" w:hAnsi="宋体" w:eastAsia="宋体" w:cs="宋体"/>
          <w:sz w:val="18"/>
          <w:szCs w:val="18"/>
        </w:rPr>
        <w:t>[</w:t>
      </w:r>
      <w:r>
        <w:rPr>
          <w:rStyle w:val="14"/>
          <w:rFonts w:hint="eastAsia" w:ascii="宋体" w:hAnsi="宋体" w:eastAsia="宋体" w:cs="宋体"/>
          <w:sz w:val="18"/>
          <w:szCs w:val="18"/>
        </w:rPr>
        <w:footnoteRef/>
      </w:r>
      <w:r>
        <w:rPr>
          <w:rStyle w:val="14"/>
          <w:rFonts w:hint="eastAsia" w:ascii="宋体" w:hAnsi="宋体" w:eastAsia="宋体" w:cs="宋体"/>
          <w:sz w:val="18"/>
          <w:szCs w:val="18"/>
        </w:rPr>
        <w:t>]</w:t>
      </w:r>
      <w:r>
        <w:rPr>
          <w:rFonts w:hint="eastAsia" w:ascii="宋体" w:hAnsi="宋体" w:cs="宋体"/>
          <w:sz w:val="18"/>
          <w:szCs w:val="18"/>
          <w:lang w:val="en-US" w:eastAsia="zh-CN"/>
        </w:rPr>
        <w:t xml:space="preserve"> </w:t>
      </w:r>
      <w:r>
        <w:rPr>
          <w:rFonts w:hint="eastAsia" w:ascii="宋体" w:hAnsi="宋体" w:eastAsia="宋体" w:cs="宋体"/>
          <w:sz w:val="18"/>
          <w:szCs w:val="18"/>
          <w:lang w:val="en-US" w:eastAsia="zh-CN"/>
        </w:rPr>
        <w:t>《中华人民共和国安全生产法》第三十五条：生产经营单位应当在有较大危险因素的生产经营场所和有关设施、设备上，设置明显的安全警示标志。</w:t>
      </w:r>
    </w:p>
    <w:p w14:paraId="344D2703">
      <w:pPr>
        <w:pStyle w:val="9"/>
        <w:snapToGrid w:val="0"/>
      </w:pPr>
    </w:p>
  </w:footnote>
  <w:footnote w:id="4">
    <w:p w14:paraId="01EC6B12">
      <w:pPr>
        <w:pStyle w:val="9"/>
        <w:keepNext w:val="0"/>
        <w:keepLines w:val="0"/>
        <w:pageBreakBefore w:val="0"/>
        <w:widowControl w:val="0"/>
        <w:kinsoku/>
        <w:wordWrap/>
        <w:overflowPunct/>
        <w:topLinePunct w:val="0"/>
        <w:autoSpaceDE/>
        <w:autoSpaceDN/>
        <w:bidi w:val="0"/>
        <w:adjustRightInd/>
        <w:snapToGrid w:val="0"/>
        <w:textAlignment w:val="auto"/>
        <w:rPr>
          <w:rStyle w:val="13"/>
          <w:rFonts w:hint="eastAsia" w:ascii="宋体" w:hAnsi="宋体" w:eastAsia="宋体" w:cs="宋体"/>
          <w:b w:val="0"/>
          <w:bCs w:val="0"/>
          <w:i w:val="0"/>
          <w:iCs w:val="0"/>
          <w:caps w:val="0"/>
          <w:color w:val="191919"/>
          <w:spacing w:val="0"/>
          <w:sz w:val="18"/>
          <w:szCs w:val="18"/>
          <w:shd w:val="clear" w:color="auto" w:fill="FFFFFF"/>
          <w:lang w:val="en-US" w:eastAsia="zh-CN"/>
        </w:rPr>
      </w:pPr>
      <w:r>
        <w:rPr>
          <w:rStyle w:val="14"/>
          <w:rFonts w:hint="eastAsia" w:ascii="宋体" w:hAnsi="宋体" w:eastAsia="宋体" w:cs="宋体"/>
          <w:sz w:val="18"/>
          <w:szCs w:val="18"/>
        </w:rPr>
        <w:t>[</w:t>
      </w:r>
      <w:r>
        <w:rPr>
          <w:rStyle w:val="14"/>
          <w:rFonts w:hint="eastAsia" w:ascii="宋体" w:hAnsi="宋体" w:eastAsia="宋体" w:cs="宋体"/>
          <w:sz w:val="18"/>
          <w:szCs w:val="18"/>
        </w:rPr>
        <w:footnoteRef/>
      </w:r>
      <w:r>
        <w:rPr>
          <w:rStyle w:val="14"/>
          <w:rFonts w:hint="eastAsia" w:ascii="宋体" w:hAnsi="宋体" w:eastAsia="宋体" w:cs="宋体"/>
          <w:sz w:val="18"/>
          <w:szCs w:val="18"/>
        </w:rPr>
        <w:t>]</w:t>
      </w:r>
      <w:r>
        <w:rPr>
          <w:rFonts w:hint="eastAsia" w:ascii="宋体" w:hAnsi="宋体" w:eastAsia="宋体" w:cs="宋体"/>
          <w:sz w:val="18"/>
          <w:szCs w:val="18"/>
          <w:lang w:val="en-US" w:eastAsia="zh-CN"/>
        </w:rPr>
        <w:t xml:space="preserve"> 《中华人民共和国安全生产法》第一百一十四条：发生生产安全事故，对负有责任的生产经营单位除要求其依</w:t>
      </w:r>
      <w:r>
        <w:rPr>
          <w:rStyle w:val="13"/>
          <w:rFonts w:hint="eastAsia" w:ascii="宋体" w:hAnsi="宋体" w:eastAsia="宋体" w:cs="宋体"/>
          <w:b w:val="0"/>
          <w:bCs w:val="0"/>
          <w:i w:val="0"/>
          <w:iCs w:val="0"/>
          <w:caps w:val="0"/>
          <w:color w:val="191919"/>
          <w:spacing w:val="0"/>
          <w:sz w:val="18"/>
          <w:szCs w:val="18"/>
          <w:shd w:val="clear" w:color="auto" w:fill="FFFFFF"/>
          <w:lang w:val="en-US" w:eastAsia="zh-CN"/>
        </w:rPr>
        <w:t>法承担相应的赔偿等责任外，由应急管理部门依照下列规定处以罚款：（一）发生一般事故的，处三十万元以上一百万元以下的罚款；</w:t>
      </w:r>
    </w:p>
  </w:footnote>
  <w:footnote w:id="5">
    <w:p w14:paraId="511FCFC1">
      <w:pPr>
        <w:pStyle w:val="9"/>
        <w:keepNext w:val="0"/>
        <w:keepLines w:val="0"/>
        <w:pageBreakBefore w:val="0"/>
        <w:widowControl w:val="0"/>
        <w:kinsoku/>
        <w:wordWrap/>
        <w:overflowPunct/>
        <w:topLinePunct w:val="0"/>
        <w:autoSpaceDE/>
        <w:autoSpaceDN/>
        <w:bidi w:val="0"/>
        <w:adjustRightInd/>
        <w:snapToGrid w:val="0"/>
        <w:textAlignment w:val="auto"/>
        <w:rPr>
          <w:rStyle w:val="13"/>
          <w:rFonts w:hint="eastAsia" w:ascii="宋体" w:hAnsi="宋体" w:eastAsia="宋体" w:cs="宋体"/>
          <w:b w:val="0"/>
          <w:bCs w:val="0"/>
          <w:i w:val="0"/>
          <w:iCs w:val="0"/>
          <w:caps w:val="0"/>
          <w:color w:val="191919"/>
          <w:spacing w:val="0"/>
          <w:sz w:val="18"/>
          <w:szCs w:val="18"/>
          <w:shd w:val="clear" w:color="auto" w:fill="FFFFFF"/>
          <w:lang w:val="en-US" w:eastAsia="zh-CN"/>
        </w:rPr>
      </w:pPr>
      <w:r>
        <w:rPr>
          <w:rStyle w:val="13"/>
          <w:rFonts w:hint="eastAsia" w:ascii="宋体" w:hAnsi="宋体" w:eastAsia="宋体" w:cs="宋体"/>
          <w:b w:val="0"/>
          <w:bCs w:val="0"/>
          <w:i w:val="0"/>
          <w:iCs w:val="0"/>
          <w:caps w:val="0"/>
          <w:color w:val="191919"/>
          <w:spacing w:val="0"/>
          <w:sz w:val="18"/>
          <w:szCs w:val="18"/>
          <w:shd w:val="clear" w:color="auto" w:fill="FFFFFF"/>
          <w:vertAlign w:val="superscript"/>
          <w:lang w:val="en-US" w:eastAsia="zh-CN"/>
        </w:rPr>
        <w:t>[</w:t>
      </w:r>
      <w:r>
        <w:rPr>
          <w:rStyle w:val="13"/>
          <w:rFonts w:hint="eastAsia" w:ascii="宋体" w:hAnsi="宋体" w:eastAsia="宋体" w:cs="宋体"/>
          <w:b w:val="0"/>
          <w:bCs w:val="0"/>
          <w:i w:val="0"/>
          <w:iCs w:val="0"/>
          <w:caps w:val="0"/>
          <w:color w:val="191919"/>
          <w:spacing w:val="0"/>
          <w:sz w:val="18"/>
          <w:szCs w:val="18"/>
          <w:shd w:val="clear" w:color="auto" w:fill="FFFFFF"/>
          <w:vertAlign w:val="superscript"/>
          <w:lang w:val="en-US" w:eastAsia="zh-CN"/>
        </w:rPr>
        <w:footnoteRef/>
      </w:r>
      <w:r>
        <w:rPr>
          <w:rStyle w:val="13"/>
          <w:rFonts w:hint="eastAsia" w:ascii="宋体" w:hAnsi="宋体" w:eastAsia="宋体" w:cs="宋体"/>
          <w:b w:val="0"/>
          <w:bCs w:val="0"/>
          <w:i w:val="0"/>
          <w:iCs w:val="0"/>
          <w:caps w:val="0"/>
          <w:color w:val="191919"/>
          <w:spacing w:val="0"/>
          <w:sz w:val="18"/>
          <w:szCs w:val="18"/>
          <w:shd w:val="clear" w:color="auto" w:fill="FFFFFF"/>
          <w:vertAlign w:val="superscript"/>
          <w:lang w:val="en-US" w:eastAsia="zh-CN"/>
        </w:rPr>
        <w:t>]</w:t>
      </w:r>
      <w:r>
        <w:rPr>
          <w:rStyle w:val="13"/>
          <w:rFonts w:hint="eastAsia" w:ascii="宋体" w:hAnsi="宋体" w:eastAsia="宋体" w:cs="宋体"/>
          <w:b w:val="0"/>
          <w:bCs w:val="0"/>
          <w:i w:val="0"/>
          <w:iCs w:val="0"/>
          <w:caps w:val="0"/>
          <w:color w:val="191919"/>
          <w:spacing w:val="0"/>
          <w:sz w:val="18"/>
          <w:szCs w:val="18"/>
          <w:shd w:val="clear" w:color="auto" w:fill="FFFFFF"/>
          <w:lang w:val="en-US" w:eastAsia="zh-CN"/>
        </w:rPr>
        <w:t xml:space="preserve"> 《生产安全事故罚款处罚规定》第十四条：事故发生单位对一般事故负有责任的，依照下列规定处以罚款：（二）造成1人死亡，或者3人以上6人以下重伤，或者300万元以上500万元以下直接经济损失的，处50万元以上70万元以下的罚款；</w:t>
      </w:r>
    </w:p>
    <w:p w14:paraId="609827E0">
      <w:pPr>
        <w:pStyle w:val="9"/>
        <w:snapToGrid w:val="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C3D3F">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12"/>
    <w:footnote w:id="1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0F5A5E"/>
    <w:rsid w:val="005230B2"/>
    <w:rsid w:val="01912610"/>
    <w:rsid w:val="021E220D"/>
    <w:rsid w:val="02AB528A"/>
    <w:rsid w:val="02FB3C76"/>
    <w:rsid w:val="03FB79D9"/>
    <w:rsid w:val="051925D0"/>
    <w:rsid w:val="051A1F4C"/>
    <w:rsid w:val="056A3A72"/>
    <w:rsid w:val="05AC70EF"/>
    <w:rsid w:val="06252A35"/>
    <w:rsid w:val="06E03FB8"/>
    <w:rsid w:val="073D0E67"/>
    <w:rsid w:val="079953DF"/>
    <w:rsid w:val="07BD44D9"/>
    <w:rsid w:val="0803493B"/>
    <w:rsid w:val="0ABC0EE6"/>
    <w:rsid w:val="0D655340"/>
    <w:rsid w:val="0DDE2BFC"/>
    <w:rsid w:val="0F2209DC"/>
    <w:rsid w:val="0F381D09"/>
    <w:rsid w:val="0F401BEE"/>
    <w:rsid w:val="102335D6"/>
    <w:rsid w:val="103B77C2"/>
    <w:rsid w:val="10D77A03"/>
    <w:rsid w:val="10EB4A21"/>
    <w:rsid w:val="112F4290"/>
    <w:rsid w:val="11D95E4F"/>
    <w:rsid w:val="12105C2F"/>
    <w:rsid w:val="156E13D0"/>
    <w:rsid w:val="15E2542F"/>
    <w:rsid w:val="163E025B"/>
    <w:rsid w:val="16972C24"/>
    <w:rsid w:val="16F169C8"/>
    <w:rsid w:val="17FF4942"/>
    <w:rsid w:val="191E76EB"/>
    <w:rsid w:val="194D490C"/>
    <w:rsid w:val="1B55229E"/>
    <w:rsid w:val="1B79409C"/>
    <w:rsid w:val="1BCB679E"/>
    <w:rsid w:val="1C664CDA"/>
    <w:rsid w:val="1D4326CF"/>
    <w:rsid w:val="1DD10CEF"/>
    <w:rsid w:val="1E441EFF"/>
    <w:rsid w:val="1E500EBB"/>
    <w:rsid w:val="20341FDE"/>
    <w:rsid w:val="21114EA8"/>
    <w:rsid w:val="21236AAA"/>
    <w:rsid w:val="21A86AE0"/>
    <w:rsid w:val="229F18F1"/>
    <w:rsid w:val="23915145"/>
    <w:rsid w:val="23A51F05"/>
    <w:rsid w:val="24DE43FF"/>
    <w:rsid w:val="25407358"/>
    <w:rsid w:val="25586AB2"/>
    <w:rsid w:val="25CB31B5"/>
    <w:rsid w:val="25D1768B"/>
    <w:rsid w:val="265E6002"/>
    <w:rsid w:val="27D471DE"/>
    <w:rsid w:val="28D81993"/>
    <w:rsid w:val="29392951"/>
    <w:rsid w:val="29E8262F"/>
    <w:rsid w:val="2B3F1F69"/>
    <w:rsid w:val="2C0B0CF8"/>
    <w:rsid w:val="2C210A28"/>
    <w:rsid w:val="2CBB1838"/>
    <w:rsid w:val="2D1332C6"/>
    <w:rsid w:val="2D7A27ED"/>
    <w:rsid w:val="2E7953AB"/>
    <w:rsid w:val="2F2D09FA"/>
    <w:rsid w:val="2F784D3C"/>
    <w:rsid w:val="2FE35322"/>
    <w:rsid w:val="30350EE7"/>
    <w:rsid w:val="30B564E7"/>
    <w:rsid w:val="30ED717E"/>
    <w:rsid w:val="320F5A5E"/>
    <w:rsid w:val="32823618"/>
    <w:rsid w:val="33835A00"/>
    <w:rsid w:val="35624825"/>
    <w:rsid w:val="37447F50"/>
    <w:rsid w:val="37D72D76"/>
    <w:rsid w:val="3823404F"/>
    <w:rsid w:val="38AA51E2"/>
    <w:rsid w:val="38C33E65"/>
    <w:rsid w:val="38E11C54"/>
    <w:rsid w:val="39BF0E9B"/>
    <w:rsid w:val="39C170BE"/>
    <w:rsid w:val="3B264A20"/>
    <w:rsid w:val="3BF90CC9"/>
    <w:rsid w:val="3C2849E5"/>
    <w:rsid w:val="3C812B9B"/>
    <w:rsid w:val="3DAB53E0"/>
    <w:rsid w:val="3F591720"/>
    <w:rsid w:val="3F75DCEA"/>
    <w:rsid w:val="3FE7696F"/>
    <w:rsid w:val="42127E5A"/>
    <w:rsid w:val="42571815"/>
    <w:rsid w:val="428415F2"/>
    <w:rsid w:val="42E54348"/>
    <w:rsid w:val="432950A1"/>
    <w:rsid w:val="455044E2"/>
    <w:rsid w:val="459351AC"/>
    <w:rsid w:val="45BF1C49"/>
    <w:rsid w:val="46034DA3"/>
    <w:rsid w:val="46B758B7"/>
    <w:rsid w:val="47394FE6"/>
    <w:rsid w:val="47EE4445"/>
    <w:rsid w:val="486E3029"/>
    <w:rsid w:val="487C491E"/>
    <w:rsid w:val="49B06A4C"/>
    <w:rsid w:val="4A6914BF"/>
    <w:rsid w:val="4B106921"/>
    <w:rsid w:val="4B454651"/>
    <w:rsid w:val="4B4F40C2"/>
    <w:rsid w:val="4B7E5E68"/>
    <w:rsid w:val="4BAF32E7"/>
    <w:rsid w:val="4BEF52F3"/>
    <w:rsid w:val="4DD06712"/>
    <w:rsid w:val="4E7C5AA3"/>
    <w:rsid w:val="4EA0781B"/>
    <w:rsid w:val="4F107BD7"/>
    <w:rsid w:val="4FE67EC7"/>
    <w:rsid w:val="506C2694"/>
    <w:rsid w:val="519A3A16"/>
    <w:rsid w:val="519D3263"/>
    <w:rsid w:val="52C32C32"/>
    <w:rsid w:val="535E4B54"/>
    <w:rsid w:val="53F16E28"/>
    <w:rsid w:val="545D3FDC"/>
    <w:rsid w:val="5652114A"/>
    <w:rsid w:val="5686405E"/>
    <w:rsid w:val="56EC1B3E"/>
    <w:rsid w:val="57175B10"/>
    <w:rsid w:val="57514BAB"/>
    <w:rsid w:val="57535EBF"/>
    <w:rsid w:val="58164A64"/>
    <w:rsid w:val="5A254D7B"/>
    <w:rsid w:val="5A9827AE"/>
    <w:rsid w:val="5B7D5474"/>
    <w:rsid w:val="5CA90032"/>
    <w:rsid w:val="5CC51E72"/>
    <w:rsid w:val="5CC95AE3"/>
    <w:rsid w:val="5CCB2E7D"/>
    <w:rsid w:val="5D335DE2"/>
    <w:rsid w:val="5D640AFC"/>
    <w:rsid w:val="5EDF69BC"/>
    <w:rsid w:val="5F460216"/>
    <w:rsid w:val="5FB33F78"/>
    <w:rsid w:val="5FD530EA"/>
    <w:rsid w:val="60470CE4"/>
    <w:rsid w:val="61885278"/>
    <w:rsid w:val="621D1FD0"/>
    <w:rsid w:val="63632407"/>
    <w:rsid w:val="65FB11E7"/>
    <w:rsid w:val="66B66F1F"/>
    <w:rsid w:val="67076519"/>
    <w:rsid w:val="682B73F5"/>
    <w:rsid w:val="68837A63"/>
    <w:rsid w:val="68FEBF29"/>
    <w:rsid w:val="69011142"/>
    <w:rsid w:val="69F00B2A"/>
    <w:rsid w:val="6AE00A3E"/>
    <w:rsid w:val="6B4D5486"/>
    <w:rsid w:val="6BD74B85"/>
    <w:rsid w:val="6BE86BF5"/>
    <w:rsid w:val="6C6541FF"/>
    <w:rsid w:val="6D015860"/>
    <w:rsid w:val="6D360141"/>
    <w:rsid w:val="6D8F0878"/>
    <w:rsid w:val="6DBC20CA"/>
    <w:rsid w:val="6DC80F84"/>
    <w:rsid w:val="6DDF3AB8"/>
    <w:rsid w:val="6E1A5D4D"/>
    <w:rsid w:val="703F5E63"/>
    <w:rsid w:val="70B72E8E"/>
    <w:rsid w:val="71702EE3"/>
    <w:rsid w:val="72A31EDB"/>
    <w:rsid w:val="73E27E89"/>
    <w:rsid w:val="740565FB"/>
    <w:rsid w:val="76522992"/>
    <w:rsid w:val="77E35ED7"/>
    <w:rsid w:val="77E5486B"/>
    <w:rsid w:val="787C5A10"/>
    <w:rsid w:val="7B713108"/>
    <w:rsid w:val="7C44520C"/>
    <w:rsid w:val="7E306B0A"/>
    <w:rsid w:val="7FD50AF7"/>
    <w:rsid w:val="7FD56136"/>
    <w:rsid w:val="BEFFA9F0"/>
    <w:rsid w:val="BFFF6AEB"/>
    <w:rsid w:val="EB767FB7"/>
    <w:rsid w:val="FBA9C33E"/>
    <w:rsid w:val="FCFDFA76"/>
    <w:rsid w:val="FCFF6877"/>
    <w:rsid w:val="FEDFEAFD"/>
    <w:rsid w:val="FF77EF3C"/>
    <w:rsid w:val="FF7FCFE0"/>
    <w:rsid w:val="FFD69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Body Text First Indent 2"/>
    <w:basedOn w:val="3"/>
    <w:qFormat/>
    <w:uiPriority w:val="0"/>
    <w:pPr>
      <w:spacing w:after="0" w:afterLines="0"/>
      <w:ind w:firstLine="420" w:firstLineChars="200"/>
    </w:pPr>
    <w:rPr>
      <w:rFonts w:ascii="Calibri" w:hAnsi="Calibri" w:eastAsia="宋体" w:cs="Times New Roman"/>
    </w:rPr>
  </w:style>
  <w:style w:type="paragraph" w:customStyle="1" w:styleId="3">
    <w:name w:val="Body Text Indent"/>
    <w:basedOn w:val="1"/>
    <w:next w:val="4"/>
    <w:qFormat/>
    <w:uiPriority w:val="0"/>
    <w:pPr>
      <w:ind w:firstLine="640" w:firstLineChars="200"/>
    </w:pPr>
    <w:rPr>
      <w:snapToGrid w:val="0"/>
      <w:kern w:val="0"/>
      <w:szCs w:val="24"/>
    </w:rPr>
  </w:style>
  <w:style w:type="paragraph" w:customStyle="1" w:styleId="4">
    <w:name w:val="Normal Indent"/>
    <w:basedOn w:val="1"/>
    <w:qFormat/>
    <w:uiPriority w:val="0"/>
    <w:pPr>
      <w:ind w:firstLine="420" w:firstLineChars="200"/>
    </w:pPr>
    <w:rPr>
      <w:rFonts w:eastAsia="仿宋"/>
      <w:sz w:val="32"/>
    </w:rPr>
  </w:style>
  <w:style w:type="paragraph" w:styleId="5">
    <w:name w:val="Date"/>
    <w:basedOn w:val="1"/>
    <w:next w:val="1"/>
    <w:qFormat/>
    <w:uiPriority w:val="0"/>
    <w:pPr>
      <w:ind w:left="100" w:leftChars="2500"/>
    </w:pPr>
    <w:rPr>
      <w:rFonts w:eastAsia="宋体"/>
      <w:b/>
      <w:bCs/>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footnote text"/>
    <w:basedOn w:val="1"/>
    <w:qFormat/>
    <w:uiPriority w:val="0"/>
    <w:pPr>
      <w:snapToGrid w:val="0"/>
      <w:jc w:val="left"/>
    </w:pPr>
    <w:rPr>
      <w:sz w:val="18"/>
    </w:rPr>
  </w:style>
  <w:style w:type="paragraph" w:styleId="10">
    <w:name w:val="toc 2"/>
    <w:basedOn w:val="1"/>
    <w:next w:val="1"/>
    <w:qFormat/>
    <w:uiPriority w:val="0"/>
    <w:pPr>
      <w:ind w:left="420" w:leftChars="200"/>
    </w:pPr>
  </w:style>
  <w:style w:type="character" w:styleId="13">
    <w:name w:val="Strong"/>
    <w:basedOn w:val="12"/>
    <w:qFormat/>
    <w:uiPriority w:val="0"/>
    <w:rPr>
      <w:b/>
    </w:rPr>
  </w:style>
  <w:style w:type="character" w:styleId="14">
    <w:name w:val="footnote reference"/>
    <w:basedOn w:val="12"/>
    <w:qFormat/>
    <w:uiPriority w:val="0"/>
    <w:rPr>
      <w:vertAlign w:val="superscript"/>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3296</Words>
  <Characters>3381</Characters>
  <Lines>0</Lines>
  <Paragraphs>0</Paragraphs>
  <TotalTime>31</TotalTime>
  <ScaleCrop>false</ScaleCrop>
  <LinksUpToDate>false</LinksUpToDate>
  <CharactersWithSpaces>3381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2025-06-14T16:30:00Z</dcterms:created>
  <dc:creator>星河</dc:creator>
  <cp:lastModifiedBy>刘路</cp:lastModifiedBy>
  <cp:lastPrinted>2025-06-25T00:57:00Z</cp:lastPrinted>
  <dcterms:modified xsi:type="dcterms:W3CDTF">2025-06-25T08:33:08Z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9E51C08F0917ECC406724F68672C419C</vt:lpwstr>
  </property>
  <property fmtid="{D5CDD505-2E9C-101B-9397-08002B2CF9AE}" pid="4" name="KSOTemplateDocerSaveRecord">
    <vt:lpwstr>eyJoZGlkIjoiZWQyZTU3ZWE2OWU5MTdjY2FjZWNiMzZlN2Q5N2MwZTkiLCJ1c2VySWQiOiIxMjk1MTE0OTQxIn0=</vt:lpwstr>
  </property>
</Properties>
</file>