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90" w:lineRule="atLeast"/>
        <w:ind w:left="0" w:right="0"/>
        <w:jc w:val="center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42"/>
          <w:szCs w:val="42"/>
          <w:bdr w:val="none" w:color="auto" w:sz="0" w:space="0"/>
          <w:shd w:val="clear" w:fill="FFFFFF"/>
        </w:rPr>
      </w:pPr>
      <w:bookmarkStart w:id="0" w:name="_GoBack"/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42"/>
          <w:szCs w:val="42"/>
          <w:bdr w:val="none" w:color="auto" w:sz="0" w:space="0"/>
          <w:shd w:val="clear" w:fill="FFFFFF"/>
        </w:rPr>
        <w:t>就业政策法规咨询</w:t>
      </w:r>
    </w:p>
    <w:bookmarkEnd w:id="0"/>
    <w:p>
      <w:pPr>
        <w:rPr>
          <w:rFonts w:hint="eastAsia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b w:val="0"/>
          <w:bCs w:val="0"/>
          <w:sz w:val="21"/>
          <w:szCs w:val="21"/>
        </w:rPr>
      </w:pPr>
      <w:r>
        <w:rPr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就业政策法规咨询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22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一、政策依据：《中华人民共和国就业促进法》第三十五条：县级以上人民政府建立健全公共就业服务体系，设立公共就业服务机构，为劳动者免费提供下列服务：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22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（一）就业政策法规咨询；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22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（二）职业供求信息、市场工资指导价位信息和职业培训信息发布；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22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（三）职业指导和职业介绍；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22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（四）对就业困难人员实施就业援助；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22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（五）办理就业登记、失业登记等事务；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22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（六）其他公共就业服务。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22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二、承办机构：就业促进办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22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三、服务对象：个人、法人、社会组织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22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四、申请条件：有就业创业政策需求的劳动者，均可按规定程序进行就业创业政策法规咨询。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22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五、申报材料：身份证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22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六、服务流程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22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（一）申请人出示身份证并说明了解的就业政策法规；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22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（二）就业主管部门按有关规定进行答复。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22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七、办理时限：即时办理。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22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八、收费标准及依据：不收费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22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九、咨询方式：0374-2077620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zMjAyZjJjNzA4MDNjMTgwMmU3YjYyMDRmOTk1ZWUifQ=="/>
  </w:docVars>
  <w:rsids>
    <w:rsidRoot w:val="06A775CB"/>
    <w:rsid w:val="06A7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2024-06-18T02:22:00Z</dcterms:created>
  <dc:creator>Administrator</dc:creator>
  <cp:lastModifiedBy>Administrator</cp:lastModifiedBy>
  <dcterms:modified xsi:type="dcterms:W3CDTF">2024-06-18T02:22:53Z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F3E6D0DA61E04D419AA81266E66CBFD3_11</vt:lpwstr>
  </property>
</Properties>
</file>