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禹州</w:t>
      </w:r>
      <w:r>
        <w:rPr>
          <w:rFonts w:hint="eastAsia" w:ascii="方正小标宋简体" w:hAnsi="方正小标宋简体" w:eastAsia="方正小标宋简体" w:cs="方正小标宋简体"/>
          <w:b w:val="0"/>
          <w:bCs/>
          <w:sz w:val="44"/>
          <w:szCs w:val="44"/>
        </w:rPr>
        <w:t>市人民政府关于公布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市政府行政规范性文件清理结果的决定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(征求意见稿)</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32"/>
          <w:szCs w:val="32"/>
        </w:rPr>
      </w:pPr>
    </w:p>
    <w:p>
      <w:pPr>
        <w:keepNext w:val="0"/>
        <w:keepLines w:val="0"/>
        <w:pageBreakBefore w:val="0"/>
        <w:kinsoku/>
        <w:wordWrap/>
        <w:overflowPunct/>
        <w:topLinePunct w:val="0"/>
        <w:autoSpaceDE/>
        <w:autoSpaceDN/>
        <w:bidi w:val="0"/>
        <w:adjustRightInd/>
        <w:spacing w:line="60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各乡镇人民政府、各街道办事处，市政府有关部门，各有关单位</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按照《河南省行政规范性文件管理办法》(省政府令第226号)规定和有关要求，市政府对2024年12月31日前市政府和市政府办公室公布的行政规范性文件进行了全面清理，现将清理结果公布如下: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一、《禹州市人民政府关于确定禹州市钧瓷原产地域保护范围的通知》(禹政〔2002〕64号)等</w:t>
      </w:r>
      <w:r>
        <w:rPr>
          <w:rFonts w:hint="eastAsia" w:ascii="仿宋_GB2312" w:hAnsi="仿宋_GB2312" w:eastAsia="仿宋_GB2312" w:cs="仿宋_GB2312"/>
          <w:b w:val="0"/>
          <w:bCs/>
          <w:sz w:val="32"/>
          <w:szCs w:val="32"/>
          <w:lang w:eastAsia="zh-CN"/>
        </w:rPr>
        <w:t>1</w:t>
      </w:r>
      <w:r>
        <w:rPr>
          <w:rFonts w:hint="eastAsia" w:ascii="仿宋_GB2312" w:hAnsi="仿宋_GB2312" w:eastAsia="仿宋_GB2312" w:cs="仿宋_GB2312"/>
          <w:b w:val="0"/>
          <w:bCs/>
          <w:sz w:val="32"/>
          <w:szCs w:val="32"/>
          <w:lang w:val="en-US" w:eastAsia="zh-CN"/>
        </w:rPr>
        <w:t>26</w:t>
      </w:r>
      <w:r>
        <w:rPr>
          <w:rFonts w:hint="eastAsia" w:ascii="仿宋_GB2312" w:hAnsi="仿宋_GB2312" w:eastAsia="仿宋_GB2312" w:cs="仿宋_GB2312"/>
          <w:b w:val="0"/>
          <w:bCs/>
          <w:sz w:val="32"/>
          <w:szCs w:val="32"/>
        </w:rPr>
        <w:t>件行政规范性文件继续有效。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二、《禹州市人民政府关于印发禹州市加强企业国有资产监督管理意见的通知》(禹政〔2005〕44号)等</w:t>
      </w:r>
      <w:r>
        <w:rPr>
          <w:rFonts w:hint="eastAsia" w:ascii="仿宋_GB2312" w:hAnsi="仿宋_GB2312" w:eastAsia="仿宋_GB2312" w:cs="仿宋_GB2312"/>
          <w:b w:val="0"/>
          <w:bCs/>
          <w:sz w:val="32"/>
          <w:szCs w:val="32"/>
          <w:lang w:eastAsia="zh-CN"/>
        </w:rPr>
        <w:t>4</w:t>
      </w:r>
      <w:r>
        <w:rPr>
          <w:rFonts w:hint="eastAsia" w:ascii="仿宋_GB2312" w:hAnsi="仿宋_GB2312" w:eastAsia="仿宋_GB2312" w:cs="仿宋_GB2312"/>
          <w:b w:val="0"/>
          <w:bCs/>
          <w:sz w:val="32"/>
          <w:szCs w:val="32"/>
          <w:lang w:val="en-US" w:eastAsia="zh-CN"/>
        </w:rPr>
        <w:t>9</w:t>
      </w:r>
      <w:r>
        <w:rPr>
          <w:rFonts w:hint="eastAsia" w:ascii="仿宋_GB2312" w:hAnsi="仿宋_GB2312" w:eastAsia="仿宋_GB2312" w:cs="仿宋_GB2312"/>
          <w:b w:val="0"/>
          <w:bCs/>
          <w:sz w:val="32"/>
          <w:szCs w:val="32"/>
        </w:rPr>
        <w:t>件行政规范性文件宣布失效。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凡宣布失效的行政规范性文件，自本决定印发之日起一律停止执行，不再作为行政管理的依据;对继续有效的行政规范性文件，要实行动态管理，在执行过程中需进行清理的按规定程序及时提出意见报市政府。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附件:1.</w:t>
      </w:r>
      <w:r>
        <w:rPr>
          <w:rFonts w:hint="eastAsia" w:ascii="仿宋_GB2312" w:hAnsi="仿宋_GB2312" w:eastAsia="仿宋_GB2312" w:cs="仿宋_GB2312"/>
          <w:sz w:val="32"/>
          <w:szCs w:val="24"/>
          <w:lang w:eastAsia="zh-CN"/>
        </w:rPr>
        <w:t>禹州</w:t>
      </w:r>
      <w:r>
        <w:rPr>
          <w:rFonts w:hint="eastAsia" w:ascii="仿宋_GB2312" w:hAnsi="仿宋_GB2312" w:eastAsia="仿宋_GB2312" w:cs="仿宋_GB2312"/>
          <w:sz w:val="32"/>
          <w:szCs w:val="24"/>
        </w:rPr>
        <w:t>市人民政府继续有效的行政规范性文件目录</w:t>
      </w: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w:t>
      </w:r>
      <w:r>
        <w:rPr>
          <w:rFonts w:hint="eastAsia" w:ascii="仿宋_GB2312" w:hAnsi="仿宋_GB2312" w:eastAsia="仿宋_GB2312" w:cs="仿宋_GB2312"/>
          <w:sz w:val="32"/>
          <w:szCs w:val="24"/>
          <w:lang w:eastAsia="zh-CN"/>
        </w:rPr>
        <w:t>1</w:t>
      </w:r>
      <w:r>
        <w:rPr>
          <w:rFonts w:hint="eastAsia" w:ascii="仿宋_GB2312" w:hAnsi="仿宋_GB2312" w:eastAsia="仿宋_GB2312" w:cs="仿宋_GB2312"/>
          <w:sz w:val="32"/>
          <w:szCs w:val="24"/>
          <w:lang w:val="en-US" w:eastAsia="zh-CN"/>
        </w:rPr>
        <w:t>26</w:t>
      </w:r>
      <w:r>
        <w:rPr>
          <w:rFonts w:hint="eastAsia" w:ascii="仿宋_GB2312" w:hAnsi="仿宋_GB2312" w:eastAsia="仿宋_GB2312" w:cs="仿宋_GB2312"/>
          <w:sz w:val="32"/>
          <w:szCs w:val="24"/>
        </w:rPr>
        <w:t>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508" w:firstLine="320" w:firstLineChars="100"/>
        <w:textAlignment w:val="auto"/>
        <w:rPr>
          <w:rFonts w:hint="eastAsia" w:ascii="仿宋_GB2312" w:hAnsi="仿宋_GB2312" w:eastAsia="仿宋_GB2312" w:cs="仿宋_GB2312"/>
          <w:sz w:val="32"/>
          <w:szCs w:val="24"/>
        </w:rPr>
      </w:pPr>
      <w:r>
        <w:rPr>
          <w:rFonts w:hint="eastAsia" w:ascii="仿宋_GB2312" w:hAnsi="仿宋_GB2312" w:eastAsia="仿宋_GB2312" w:cs="仿宋_GB2312"/>
          <w:sz w:val="32"/>
          <w:szCs w:val="24"/>
          <w:lang w:val="en-US" w:eastAsia="zh-CN"/>
        </w:rPr>
        <w:t>2.禹州</w:t>
      </w:r>
      <w:r>
        <w:rPr>
          <w:rFonts w:hint="eastAsia" w:ascii="仿宋_GB2312" w:hAnsi="仿宋_GB2312" w:eastAsia="仿宋_GB2312" w:cs="仿宋_GB2312"/>
          <w:sz w:val="32"/>
          <w:szCs w:val="24"/>
        </w:rPr>
        <w:t>市人民政府决定失效的行政规范性文件目录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508" w:firstLine="640" w:firstLineChars="200"/>
        <w:textAlignment w:val="auto"/>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w:t>
      </w:r>
      <w:r>
        <w:rPr>
          <w:rFonts w:hint="eastAsia" w:ascii="仿宋_GB2312" w:hAnsi="仿宋_GB2312" w:eastAsia="仿宋_GB2312" w:cs="仿宋_GB2312"/>
          <w:sz w:val="32"/>
          <w:szCs w:val="24"/>
          <w:lang w:eastAsia="zh-CN"/>
        </w:rPr>
        <w:t>4</w:t>
      </w:r>
      <w:r>
        <w:rPr>
          <w:rFonts w:hint="eastAsia" w:ascii="仿宋_GB2312" w:hAnsi="仿宋_GB2312" w:eastAsia="仿宋_GB2312" w:cs="仿宋_GB2312"/>
          <w:sz w:val="32"/>
          <w:szCs w:val="24"/>
          <w:lang w:val="en-US" w:eastAsia="zh-CN"/>
        </w:rPr>
        <w:t>9</w:t>
      </w:r>
      <w:r>
        <w:rPr>
          <w:rFonts w:hint="eastAsia" w:ascii="仿宋_GB2312" w:hAnsi="仿宋_GB2312" w:eastAsia="仿宋_GB2312" w:cs="仿宋_GB2312"/>
          <w:sz w:val="32"/>
          <w:szCs w:val="24"/>
        </w:rPr>
        <w:t>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24"/>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24"/>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24"/>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24"/>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color w:val="auto"/>
          <w:sz w:val="32"/>
          <w:szCs w:val="32"/>
          <w:lang w:eastAsia="zh-CN"/>
        </w:rPr>
      </w:pP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default" w:ascii="Times New Roman" w:hAnsi="Times New Roman" w:eastAsia="黑体" w:cs="Times New Roman"/>
          <w:color w:val="auto"/>
          <w:sz w:val="32"/>
          <w:szCs w:val="32"/>
          <w:lang w:val="en-US" w:eastAsia="zh-CN"/>
        </w:rPr>
        <w:t>1</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color w:val="auto"/>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lang w:eastAsia="zh-CN"/>
        </w:rPr>
        <w:t>禹州</w:t>
      </w:r>
      <w:r>
        <w:rPr>
          <w:rFonts w:hint="default" w:ascii="Times New Roman" w:hAnsi="Times New Roman" w:eastAsia="方正小标宋简体" w:cs="Times New Roman"/>
          <w:color w:val="auto"/>
          <w:sz w:val="44"/>
          <w:szCs w:val="44"/>
        </w:rPr>
        <w:t>市人民政府继续有效的</w:t>
      </w:r>
    </w:p>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行政规范性文件目录（</w:t>
      </w:r>
      <w:r>
        <w:rPr>
          <w:rFonts w:hint="eastAsia" w:ascii="Times New Roman" w:hAnsi="Times New Roman" w:eastAsia="方正小标宋简体" w:cs="Times New Roman"/>
          <w:color w:val="auto"/>
          <w:sz w:val="44"/>
          <w:szCs w:val="44"/>
          <w:lang w:val="en-US" w:eastAsia="zh-CN"/>
        </w:rPr>
        <w:t>126</w:t>
      </w:r>
      <w:r>
        <w:rPr>
          <w:rFonts w:hint="default" w:ascii="Times New Roman" w:hAnsi="Times New Roman" w:eastAsia="方正小标宋简体" w:cs="Times New Roman"/>
          <w:color w:val="auto"/>
          <w:sz w:val="44"/>
          <w:szCs w:val="44"/>
        </w:rPr>
        <w:t>件）</w:t>
      </w:r>
    </w:p>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auto"/>
          <w:sz w:val="44"/>
          <w:szCs w:val="44"/>
        </w:rPr>
      </w:pPr>
    </w:p>
    <w:tbl>
      <w:tblPr>
        <w:tblStyle w:val="9"/>
        <w:tblW w:w="93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47"/>
        <w:gridCol w:w="5625"/>
        <w:gridCol w:w="28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9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序号</w:t>
            </w:r>
          </w:p>
        </w:tc>
        <w:tc>
          <w:tcPr>
            <w:tcW w:w="56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文件名称</w:t>
            </w:r>
          </w:p>
        </w:tc>
        <w:tc>
          <w:tcPr>
            <w:tcW w:w="280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文号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《禹州市人民政府关于确定禹州市钧瓷原产地域保护范围的通知》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(禹政〔2002〕64号)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《禹州市人民政府关于印发&lt;禹州市国有土地地租征收管理及土地使用权租赁登记暂行办法&gt;的通知》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(禹政〔2002〕72号)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《禹州市人民政府关于切实做好天然气利用工作的通知》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（禹政〔2002〕131号）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《禹州市人民政府关于公布市区土地租赁地价的通知》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(禹政〔2003〕117号)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《禹州市人民政府关于印发禹州市爱国卫生管理办法的通知》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(禹政〔2004〕55号)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《禹州市人民政府关于建立市级粮食储备的通知》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(禹政〔2004〕103号)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《禹州市人民政府批转市国土资源局等部门关于冶金矿产品生产经营管理和资源税征收实施意见的通知》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(禹政〔2006〕52号)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《禹州市人民政府关于印发禹州市煤矿开采造成耕地地表建（构）筑物和附属物损害赔偿办法的通知》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（禹政〔2008〕73号）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《禹州市人民政府关于实行安全生产工作一岗双责的意见》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(禹政〔2011〕30号)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《禹州市人民政府关于印发禹州市安全生产一票否决制度实施办法的通知》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(禹政〔2011〕32号)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《禹州市人民政府关于印发禹州市户外广告设置管理暂行办法的通知》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(禹政〔2011〕54号)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《禹州市人民政府关于印发禹州市开展城乡居民社会养老保险试点工作实施办法的通知》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(禹政〔2011〕66号)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《禹州市人民政府关于调整征地补偿款预存标准的通知》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(禹政〔2011〕68号)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《禹州市人民政府关于印发&lt;禹州市城乡居民社会养老保险待遇领取人员资格认证管理暂行办法&gt;的通知》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(禹政〔2012〕58号)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《禹州市人民政府关于进一步规范土地收储供应工作的若干意见》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(禹政〔2012〕89号)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《禹州市人民政府关于批转&lt;禹州市非煤矿产品生产经营管理和税费征收暂行办法&gt;的通知》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(禹政〔2012〕91号)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《禹州市人民政府关于印发&lt;禹州市农村饮水安全工程建后维修基金筹集使用管理办法&gt;的通知》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(禹政〔2012〕110号)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《禹州市人民政府关于对&lt;禹州市煤矿开采造成耕地地表建（构）筑物和附属物损害赔偿办法&gt;部分内容进行修订的通知》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（禹政〔2013〕10号）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《禹州市人民政府关于加快推进社会养老服务体系建设的意见》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(禹政〔2013〕29号)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《禹州市人民政府关于印发&lt;禹州市城市地下弱电管网建设管理办法&gt;的通知》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(禹政〔2014〕2号)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《禹州市人民政府关于切实规范城中村改造工作的实施意见（试行）》</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(禹政〔2014〕16号)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《禹州市人民政府关于实行最严格水资源管理制度的实施意见》 </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(禹政〔2014〕18号)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《禹州市人民政府关于进一步强化综合治税工作的实施意见》 </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（禹政〔2014〕20号）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《禹州市人民政府关于公布禹州市规范性文件清理结果的通知》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（禹政〔2014〕36号）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《禹州市人民政府关于印发&lt;禹州市公共租赁住房分配管理办法（试行）&gt;的通知》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(禹政〔2015〕18号)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《禹州市人民政府关于建立清理拖欠农民工工资常态工作机制的意见》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(禹政〔2015〕30号)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《禹州市人民政府关于印发禹州市深化小型水利工程管理体制改革实施方案的通知》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(禹政〔2015〕39号)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《禹州市人民政府关于印发&lt;禹州市出租汽车特许经营管理办法&gt;的通知》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（禹政〔2015〕40号）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《禹州市人民政府关于深化改革加快发展现代职业教育的实施意见》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（禹政〔2015〕51号）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《禹州市人民政府关于印发&lt;禹州市政府向社会力量购买服务实施办法&gt;的通知》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（禹政〔2015〕61号）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《禹州市人民政府关于印发禹州市市级储备粮管理办法的通知》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(禹政〔2016〕10号)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《禹州市人民政府关于印发&lt;禹州市病媒生物防制管理办法&gt;的通知》 </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(禹政〔2016〕29号)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《禹州市人民政府关于印发禹州市燃放烟花爆竹管理办法（试行）的通知》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（禹政〔2016〕38号）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《禹州市人民政府关于全面实施临时救助制度的意见》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(禹政〔2016〕39号)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《禹州市人民政府关于支持农民工返乡创业的实施意见》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(禹政〔2017〕11号)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《禹州市人民政府关于印发禹州市城市居民居住证实施办法的通知》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（禹政〔2017〕13号）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《禹州市人民政府关于免除全市城乡亡故人员基本殡葬服务费的通知》 </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(禹政〔2017〕21号)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《禹州市人民政府关于印发禹州市农村数字电视“户户通”工程实施方案的通知》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(禹政〔2017〕25号)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《禹州市人民政府关于印发&lt;国家开发银行贷款禹州市国家储备林项目管理办法（试行）&gt;和&lt;国家开发银行贷款禹州市国家储备林项目资金管理办法（试行）&gt;的通知》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(禹政〔2017〕74号)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《禹州市人民政府关于印发禹州市建立完善守信联合激励和失信联合惩戒制度加快推进社会诚信建设实施方案的通知》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（禹政〔2018〕12号）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《禹州市人民政府关于处理国有建设用地上不动产登记历史遗留问题的意见(试行)》</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(禹政〔2018〕49号)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《禹州市人民政府关于印发禹州市经济适用住房销售管理实施方案的通知》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（禹政〔2019〕2号）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《禹州市人民政府关于推进装配式建筑发展的实施意见》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（禹政〔2019〕6号）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0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《禹州市人民政府关于印发&lt;中国农业发展银行贷款支持禹州市国家储备林项目管理办法(试行)和&lt;中国农业发展银行贷款支持禹州市国家储备林项目资金管理办法（试行）&gt;的通知》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（禹政〔2019〕19号）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《禹州市人民政府关于印发&lt;禹州市实施标准化战略奖励办法&gt;的通知》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（禹政〔2019〕35号）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《禹州市人民政府关于对&lt;禹州市煤矿开采造成耕地地表建（构）筑物和附属物损害赔偿办法&gt;部分内容进行修订的通知》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（禹政〔2019〕48号）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《禹州市人民政府关于公布禹州市规范性文件清理结果的通知》 </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(禹政〔2020〕22号)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《禹州市人民政府关于印发禹州市石灰岩矿山资源整合出让实施方案的通知》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(禹政〔2021〕11号)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《禹州市人民政府关于印发禹州市消防安全责任制实施办法的通知》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(禹政〔2021〕20号)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《禹州市人民政府关于印发&lt;禹州市进一步加强政府投资项目管理办法&gt;的通知》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(禹政〔2022〕1号)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《禹州市人民政府关于印发禹州市村卫生室产权公有化建设实施方案的通知》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(禹政〔2022〕16号)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《禹州市人民政府关于公布禹州市规范性文件清理结果的通知》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(禹政〔2022〕19号)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《禹州市人民政府关于印发禹州市畜禽养殖污染防治规划（2021-2025）的通知》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(禹政〔2023〕4号)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《禹州市人民政府关于印发禹州市地下水超采综合治理工作实施方案的通知》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(禹政〔2023〕9号)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《禹州市人民政府关于印发禹州市贯彻&lt;河南省农村宅基地和村民自建住房管理办法（试行）&gt;实施方案的通知》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(禹政〔2023〕13号)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《禹州市人民政府办公室关于印发禹州市公共场所禁止吸烟规定的通知》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(禹政办〔2004〕26号)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《禹州市人民政府办公室关于印发禹州市城市规划公示制度的通知》 </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(禹政办〔2005〕93号)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《禹州市人民政府办公室关于公布禹州市城市生活垃圾处理费征收标准的通知》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(禹政办〔2005〕102号)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《禹州市人民政府办公室关于印发禹州市城市绿线管理办法的通知》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(禹政办〔2007〕118号)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《禹州市人民政府办公室关于印发禹州市扩大农村奖励扶助建设计生幸福家庭试点工作资金管理暂行办法的通知》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(禹政办〔2008〕41号)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《禹州市人民政府办公室关于进一步加强城市生活垃圾处理费征收管理的通知》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(禹政办〔2009〕22号)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《禹州市人民政府办公室关于印发&lt;禹州市征地补偿款预存管理暂行办法&gt;的通知》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(禹政办〔2010〕97号)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《禹州市人民政府办公室关于印发禹州市文物保护管理办法的通知》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(禹政办〔2011〕10号)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《禹州市人民政府办公室关于印发禹州市城市雕塑建设管理办法的通知》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(禹政办〔2011〕26号)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《禹州市人民政府办公室关于印发禹州市数字电视运营实施办法的通知》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(禹政办〔2011〕38号)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《禹州市人民政府办公室关于进一步加强乡村医生队伍建设的实施意见》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(禹政办〔2012〕16号)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《禹州市人民政府办公室关于印发&lt;禹州市征地补偿款预存管理暂行办法&gt;补充规定的通知》 </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(禹政办〔2012〕70号)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《禹州市人民政府办公室关于印发&lt;禹州市铝土矿资源开发管理暂行规定&gt;的通知》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(禹政办〔2012〕120号)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《禹州市人民政府办公室关于建立廉租房和公共租赁住房保障对象资格联合审查机制的通知》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(禹政办〔2013〕64号)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《禹州市人民政府办公室关于印发&lt;禹州市金融贡献奖励办法&gt;的通知》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(禹政办〔2014〕28号)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《禹州市人民政府办公室关于印发&lt;禹州市人民防空警报设施维护管理办法&gt;的通知》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(禹政办〔2014〕50号)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《禹州市人民政府办公室关于建立城区住宅小区物业管理联动机制的通知》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(禹政办〔2014〕54号)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《禹州市人民政府办公室关于印发禹州市综合治税工作实施方案的通知》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（禹政办〔2014〕56号）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《禹州市人民政府办公室关于印发禹州市城乡道路客运一体化实施方案的通知》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（禹政办〔2015〕40号）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《禹州市人民政府办公室关于印发&lt;禹州市农村饮水安全工程水质检测管理办法&gt;的通知》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(禹政办〔2015〕44号)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《禹州市人民政府办公室关于印发&lt;禹州市公共交通基础设施特许经营管理办法&gt;的通知》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（禹政办〔2015〕58号）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《禹州市人民政府办公室关于转发禹州市2015年生猪调出大县奖励资金使用方案的通知》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（禹政办〔2015〕59号）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《禹州市人民政府办公室关于印发禹州市推行环境污染第三方治理实施方案的通知》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（禹政办〔2016〕40号）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56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《禹州市人民政府办公室关于进一步规范铝粘土等矿产品生产经营管理工作的通知》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(禹政办〔2016〕41号)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《禹州市人民政府办公室关于印发&lt;禹州市建筑垃圾特许经营管理办法&gt;的通知》 </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(禹政办〔2016〕54号)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《禹州市人民政府办公室关于印发禹州市农用地膜回收利用管理办法的通知》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(禹政办〔2016〕56号)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《禹州市人民政府办公室关于印发禹州市农家乐等级评定和管理规范的通知》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(禹政办〔2016〕61号)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《禹州市人民政府办公室关于印发禹州市农业转移人口市民化基本公共服务和社会保障实施方案的通知》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（禹政办〔2016〕66号）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《禹州市人民政府办公室关于推进户籍制度改革的实施意见》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（禹政办〔2016〕67号）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《禹州市人民政府办公室关于修订印发禹州市市长质量奖管理办法的通知》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《禹州市人民政府办公室关于普及学前教育的实施意见》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《禹州市人民政府办公室关于印发&lt;禹州市棚户区改造货币化安置实施办法（试行）&gt;的通知》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《禹州市人民政府办公室关于印发&lt;禹州市城市规划区内集体土地上房屋征收补偿安置办法（试行）&gt;的通知》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《禹州市人民政府办公室关于加强公交站亭站牌建设管理工作的意见》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（禹政办〔2017〕23号）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《禹州市人民政府办公室关于印发禹州市农村集中饮用水水源保护区划的通知》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(禹政办〔2017〕40号)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《禹州市人民政府办公室关于转发&lt;禹州市烟叶生产及基础设施管护资金管理暂行办法&gt;的通知》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(禹政办〔2017〕43号)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《禹州市人民政府办公室关于调整禹州市城市建筑垃圾处理费收费标准的通知》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（禹政办〔2017〕48号）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《禹州市人民政府办公室关于加强困境儿童保障工作的实施意见》 </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(禹政办〔2017〕55号)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《禹州市人民政府办公室关于印发禹州市扶贫小额信贷实施办法（试行）的通知》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(禹政办〔2018〕14号)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《禹州市人民政府办公室关于印发&lt;禹州市公共交通成本规制实施办法&gt;的通知》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（禹政办〔2018〕23号）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《禹州市人民政府办公室关于印发禹州市建立现代医院管理制度实施方案的通知》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(禹政办〔2018〕37号)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《禹州市人民政府办公室关于印发禹州市农村集中饮用水水源保护区划的通知》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(禹政办〔2018〕45号)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《禹州市人民政府办公室关于进一步压缩企业开办时间的实施意见》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(禹政办〔2018〕58号)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99</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《禹州市人民政府办公室关于调整征地预存款缴纳主体和标准的通知》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(禹政办〔2018〕60号)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《禹州市人民政府办公室关于印发禹州市城镇小区配套幼儿园和无证幼儿园专项治理工作方案的通知》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（禹政办〔2019〕21号）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《禹州市人民政府办公室关于印发禹州市做好2019年7月1日前被征地农民社会保障工作实施方案的通知》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（禹政办〔2019〕23号）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《禹州市人民政府办公室关于印发&lt;禹州市农村饮水安全工程建设与运行管理办法(试行)&gt;的通知》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（禹政办〔2019〕36号）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《禹州市人民政府办公室关于稳定生猪生产保障市场供应的通知》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《禹州市人民政府办公室关于印发禹州市畜禽养殖禁养区调整方案的通知》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(禹政办〔2020〕4号)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《禹州市人民政府办公室关于印发&lt;禹州市促进机制砂产业发展推广机制砂应用工作实施办法&gt;的通知》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(禹政办〔2020〕6号）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《禹州市人民政府办公室关于印发&lt;禹州市政府购买信息化服务实施办法（暂行）&gt;的通知》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（禹政办〔2020〕11号）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《禹州市人民政府办公室关于转发&lt;禹州市市政设施验收移交管理办法&gt;的通知》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(禹政办〔2020〕16号)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《禹州市人民政府办公室关于印发禹州市2020年出租汽车运力调配工作方案的通知》 </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(禹政办〔2020〕30号)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109</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《禹州市人民政府办公室关于印发禹州市加快推进社会信用体系建设构建以信用为基础的新型监管机制实施方案的通知》 </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(禹政办〔2020〕45号)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《禹州市人民政府办公室关于印发禹州市推进生活垃圾分类工作实施方案的通知》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《禹州市人民政府办公室关于印发禹州市地理标志产品保护管理办法的通知》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(禹政办〔2021〕13号)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《禹州市人民政府办公室关于印发禹州市乡镇敬老院公建民营实施方案的通知》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(禹政办〔2021〕16号)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《禹州市人民政府办公室关于印发禹州市煤矸石项目规划布局及综合利用行业准入标准方案的通知》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(禹政办〔2021〕19号)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《禹州市人民政府办公室关于印发禹州市扶贫项目资产后续管理实施细则的通知》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（禹政办〔2021〕27号）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《禹州市人民政府办公室关于印发许昌国家城乡融合发展试验区禹州市实施方案的通知》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（禹政办〔2022〕3号）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《禹州市人民政府办公室关于进一步加强基层动物防疫队伍建设的通知》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117</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《禹州市人民政府办公室关于印发&lt;禹州市城市地下空间开发利用管理暂行办法&gt;的通知》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(禹政办〔2022〕28号)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118</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《禹州市人民政府办公室关于印发禹州市深化企业投资项目承诺制改革实施方案的通知》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（禹政办〔2022〕32号)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119</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《禹州市人民政府办公室关于印发&lt;禹州市银行业金融机构支持地方经济发展考核激励办法&gt;的通知》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(禹政办〔2022〕34号)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《禹州市人民政府办公室关于印发禹州市城市声环境功能区划分方案的通知》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(禹政办〔2022〕36号)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121</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《禹州市人民政府办公室关于印发&lt;禹州市市长教育质量奖和先进个人评选奖励实施办法（试行）&gt;的通知》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（禹政办〔2024〕1号）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122</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《禹州市人民政府办公室关于印发&lt;禹州市政府励志奖学金实施办法（试行）&gt;的通知》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（禹政办〔2024〕2号）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123</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《禹州市人民政府办公室关于建立房地产融资协调机制的通知》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（禹政办〔2024〕7号）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124</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《禹州市人民政府办公室关于印发禹州市巡游出租汽车改革更新工作实施方案的通知》</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(禹政办〔2024〕8号)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125</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禹州市人民政府办公室关于推进“12345”养老服务体系建设的实施意见</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（禹政办〔2024〕13号）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4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126</w:t>
            </w:r>
          </w:p>
        </w:tc>
        <w:tc>
          <w:tcPr>
            <w:tcW w:w="5625"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《禹州市人民政府关于更新划定高排放非道路移动机械禁用区的通告》</w:t>
            </w:r>
          </w:p>
        </w:tc>
        <w:tc>
          <w:tcPr>
            <w:tcW w:w="2804"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(禹政通〔2024〕1号)</w:t>
            </w:r>
          </w:p>
        </w:tc>
      </w:tr>
    </w:tbl>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24"/>
          <w:lang w:val="en-US" w:eastAsia="zh-CN"/>
        </w:rPr>
      </w:pPr>
      <w:r>
        <w:rPr>
          <w:rFonts w:hint="eastAsia" w:ascii="仿宋_GB2312" w:hAnsi="仿宋_GB2312" w:eastAsia="仿宋_GB2312" w:cs="仿宋_GB2312"/>
          <w:sz w:val="32"/>
          <w:szCs w:val="24"/>
          <w:lang w:val="en-US" w:eastAsia="zh-CN"/>
        </w:rPr>
        <w:t xml:space="preserve">                      </w:t>
      </w:r>
    </w:p>
    <w:p>
      <w:pPr>
        <w:pStyle w:val="2"/>
        <w:rPr>
          <w:rFonts w:hint="eastAsia" w:ascii="仿宋_GB2312" w:hAnsi="仿宋_GB2312" w:eastAsia="仿宋_GB2312" w:cs="仿宋_GB2312"/>
          <w:sz w:val="32"/>
          <w:szCs w:val="24"/>
          <w:lang w:val="en-US" w:eastAsia="zh-CN"/>
        </w:rPr>
      </w:pPr>
    </w:p>
    <w:p>
      <w:pPr>
        <w:rPr>
          <w:rFonts w:hint="eastAsia" w:ascii="仿宋_GB2312" w:hAnsi="仿宋_GB2312" w:eastAsia="仿宋_GB2312" w:cs="仿宋_GB2312"/>
          <w:sz w:val="32"/>
          <w:szCs w:val="24"/>
          <w:lang w:val="en-US" w:eastAsia="zh-CN"/>
        </w:rPr>
      </w:pPr>
    </w:p>
    <w:p>
      <w:pPr>
        <w:pStyle w:val="2"/>
        <w:rPr>
          <w:rFonts w:hint="eastAsia" w:ascii="仿宋_GB2312" w:hAnsi="仿宋_GB2312" w:eastAsia="仿宋_GB2312" w:cs="仿宋_GB2312"/>
          <w:sz w:val="32"/>
          <w:szCs w:val="24"/>
          <w:lang w:val="en-US" w:eastAsia="zh-CN"/>
        </w:rPr>
      </w:pPr>
    </w:p>
    <w:p>
      <w:pPr>
        <w:rPr>
          <w:rFonts w:hint="eastAsia" w:ascii="仿宋_GB2312" w:hAnsi="仿宋_GB2312" w:eastAsia="仿宋_GB2312" w:cs="仿宋_GB2312"/>
          <w:sz w:val="32"/>
          <w:szCs w:val="24"/>
          <w:lang w:val="en-US" w:eastAsia="zh-CN"/>
        </w:rPr>
      </w:pPr>
    </w:p>
    <w:p>
      <w:pPr>
        <w:pStyle w:val="2"/>
        <w:rPr>
          <w:rFonts w:hint="eastAsia" w:ascii="仿宋_GB2312" w:hAnsi="仿宋_GB2312" w:eastAsia="仿宋_GB2312" w:cs="仿宋_GB2312"/>
          <w:sz w:val="32"/>
          <w:szCs w:val="24"/>
          <w:lang w:val="en-US" w:eastAsia="zh-CN"/>
        </w:rPr>
      </w:pPr>
    </w:p>
    <w:p>
      <w:pPr>
        <w:rPr>
          <w:rFonts w:hint="eastAsia" w:ascii="仿宋_GB2312" w:hAnsi="仿宋_GB2312" w:eastAsia="仿宋_GB2312" w:cs="仿宋_GB2312"/>
          <w:sz w:val="32"/>
          <w:szCs w:val="24"/>
          <w:lang w:val="en-US" w:eastAsia="zh-CN"/>
        </w:rPr>
      </w:pPr>
    </w:p>
    <w:p>
      <w:pPr>
        <w:pStyle w:val="2"/>
        <w:rPr>
          <w:rFonts w:hint="eastAsia" w:ascii="仿宋_GB2312" w:hAnsi="仿宋_GB2312" w:eastAsia="仿宋_GB2312" w:cs="仿宋_GB2312"/>
          <w:sz w:val="32"/>
          <w:szCs w:val="24"/>
          <w:lang w:val="en-US" w:eastAsia="zh-CN"/>
        </w:rPr>
      </w:pPr>
    </w:p>
    <w:p>
      <w:pPr>
        <w:rPr>
          <w:rFonts w:hint="eastAsia" w:ascii="仿宋_GB2312" w:hAnsi="仿宋_GB2312" w:eastAsia="仿宋_GB2312" w:cs="仿宋_GB2312"/>
          <w:sz w:val="32"/>
          <w:szCs w:val="24"/>
          <w:lang w:val="en-US" w:eastAsia="zh-CN"/>
        </w:rPr>
      </w:pPr>
    </w:p>
    <w:p>
      <w:pPr>
        <w:pStyle w:val="2"/>
        <w:rPr>
          <w:rFonts w:hint="eastAsia" w:ascii="仿宋_GB2312" w:hAnsi="仿宋_GB2312" w:eastAsia="仿宋_GB2312" w:cs="仿宋_GB2312"/>
          <w:sz w:val="32"/>
          <w:szCs w:val="24"/>
          <w:lang w:val="en-US" w:eastAsia="zh-CN"/>
        </w:rPr>
      </w:pPr>
    </w:p>
    <w:p>
      <w:pPr>
        <w:rPr>
          <w:rFonts w:hint="eastAsia" w:ascii="仿宋_GB2312" w:hAnsi="仿宋_GB2312" w:eastAsia="仿宋_GB2312" w:cs="仿宋_GB2312"/>
          <w:sz w:val="32"/>
          <w:szCs w:val="24"/>
          <w:lang w:val="en-US" w:eastAsia="zh-CN"/>
        </w:rPr>
      </w:pPr>
    </w:p>
    <w:p>
      <w:pPr>
        <w:pStyle w:val="2"/>
        <w:rPr>
          <w:rFonts w:hint="eastAsia" w:ascii="仿宋_GB2312" w:hAnsi="仿宋_GB2312" w:eastAsia="仿宋_GB2312" w:cs="仿宋_GB2312"/>
          <w:sz w:val="32"/>
          <w:szCs w:val="24"/>
          <w:lang w:val="en-US" w:eastAsia="zh-CN"/>
        </w:rPr>
      </w:pPr>
    </w:p>
    <w:p>
      <w:pPr>
        <w:rPr>
          <w:rFonts w:hint="eastAsia" w:ascii="仿宋_GB2312" w:hAnsi="仿宋_GB2312" w:eastAsia="仿宋_GB2312" w:cs="仿宋_GB2312"/>
          <w:sz w:val="32"/>
          <w:szCs w:val="24"/>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default" w:ascii="Times New Roman" w:hAnsi="Times New Roman" w:eastAsia="黑体" w:cs="Times New Roman"/>
          <w:color w:val="auto"/>
          <w:sz w:val="32"/>
          <w:szCs w:val="32"/>
          <w:lang w:val="en-US" w:eastAsia="zh-CN"/>
        </w:rPr>
        <w:t>2</w:t>
      </w:r>
      <w:bookmarkStart w:id="0" w:name="_GoBack"/>
      <w:bookmarkEnd w:id="0"/>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lang w:eastAsia="zh-CN"/>
        </w:rPr>
        <w:t>禹州</w:t>
      </w:r>
      <w:r>
        <w:rPr>
          <w:rFonts w:hint="default" w:ascii="Times New Roman" w:hAnsi="Times New Roman" w:eastAsia="方正小标宋简体" w:cs="Times New Roman"/>
          <w:color w:val="auto"/>
          <w:sz w:val="44"/>
          <w:szCs w:val="44"/>
        </w:rPr>
        <w:t>市人民政府决定失效的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行政规范性文件目录（</w:t>
      </w:r>
      <w:r>
        <w:rPr>
          <w:rFonts w:hint="eastAsia" w:ascii="Times New Roman" w:hAnsi="Times New Roman" w:eastAsia="方正小标宋简体" w:cs="Times New Roman"/>
          <w:color w:val="auto"/>
          <w:sz w:val="44"/>
          <w:szCs w:val="44"/>
          <w:lang w:eastAsia="zh-CN"/>
        </w:rPr>
        <w:t>4</w:t>
      </w:r>
      <w:r>
        <w:rPr>
          <w:rFonts w:hint="eastAsia" w:ascii="Times New Roman" w:hAnsi="Times New Roman" w:eastAsia="方正小标宋简体" w:cs="Times New Roman"/>
          <w:color w:val="auto"/>
          <w:sz w:val="44"/>
          <w:szCs w:val="44"/>
          <w:lang w:val="en-US" w:eastAsia="zh-CN"/>
        </w:rPr>
        <w:t>9</w:t>
      </w:r>
      <w:r>
        <w:rPr>
          <w:rFonts w:hint="default" w:ascii="Times New Roman" w:hAnsi="Times New Roman" w:eastAsia="方正小标宋简体" w:cs="Times New Roman"/>
          <w:color w:val="auto"/>
          <w:sz w:val="44"/>
          <w:szCs w:val="44"/>
        </w:rPr>
        <w:t>件）</w:t>
      </w:r>
    </w:p>
    <w:p>
      <w:pPr>
        <w:pStyle w:val="2"/>
        <w:rPr>
          <w:rFonts w:hint="default"/>
        </w:rPr>
      </w:pPr>
    </w:p>
    <w:tbl>
      <w:tblPr>
        <w:tblStyle w:val="9"/>
        <w:tblW w:w="88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6"/>
        <w:gridCol w:w="4950"/>
        <w:gridCol w:w="29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序号</w:t>
            </w:r>
          </w:p>
        </w:tc>
        <w:tc>
          <w:tcPr>
            <w:tcW w:w="4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文件名称</w:t>
            </w:r>
          </w:p>
        </w:tc>
        <w:tc>
          <w:tcPr>
            <w:tcW w:w="29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文号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《禹州市人民政府关于印发禹州市加强企业国有资产监督管理意见的通知》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(禹政〔2005〕44号)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《禹州市人民政府关于印发禹州市安全隐患事故举报奖励办法的通知》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(禹政〔2005〕71号)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《禹州市人民政府关于进一步规范完善价格调节基金征收管理使用工作的通知》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（禹政〔2007〕65号）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《禹州市人民政府关于加快推进全市社会信用体系建设的实施意见》</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(禹政〔2012〕56号)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《禹州市人民政府关于印发禹州市支持钧瓷文化旅游示范企业发展若干意见的通知》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（禹政〔2012〕93号)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5"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《禹州市人民政府关于印发禹州市高污染燃料禁燃区划定方案和禹州市黄标车禁行区划定方案的通知》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《禹州市人民政府关于进一步盘活存量土地提高土地利用效率的实施意见》</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(禹政〔2015〕12号)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《禹州市人民政府关于印发&lt;禹州市政府投资建设项目审计全覆盖实施办法&gt;的通知》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（禹政〔2015〕33号）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《禹州市人民政府关于进一步扶持民办教育发展的若干意见》 </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(禹政〔2015〕50号)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《禹州市人民政府关于大力推进大众创业万众创新的实施意见》 </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(禹政〔2015〕59号)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《禹州市人民政府关于加快服务业发展的若干政策意见（试行）》</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（禹政〔2016〕3号）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《禹州市人民政府关于印发禹州市政府法律顾问工作暂行规定的通知》 </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（禹政〔2016〕56号）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《禹州市人民政府关于加快企业上市工作的意见》</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(禹政〔2017〕23号)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《禹州市人民政府关于进一步支持农民工返乡创业的补充意见》</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(禹政〔2017〕40号)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《禹州市人民政府关于印发&lt;禹州市培育总部经济支持企业做大做强奖励办法（试行）&gt;的通知》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（禹政〔2018〕23号）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《禹州市人民政府关于印发&lt;禹州市企业资金链和担保链风险防范与化解工作实施办法（试行）&gt;的通知》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（禹政〔2018〕43号）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《禹州市人民政府关于转发禹州市2017-2018年生猪调出大县奖励资金使用方案的通知》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(禹政〔2018〕51号)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《禹州市人民政府关于印发&lt;禹州市楼宇经济扶持办法（试行）&gt;的通知》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（禹政〔2019〕42号）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《禹州市人民政府关于废止禹政〔2014〕33号文件和禹政〔2015〕33号文件部分内容的通知》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（禹政〔2019〕44号）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《禹州市人民政府关于促进房地产市场良性循环和持续健康发展的意见》</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(禹政〔2022〕6号)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《禹州市人民政府办公室关于印发&lt;禹州市楼、门牌设置和管理办法&gt;的通知》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(禹政办〔2000〕20号)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《禹州市人民政府办公室关于印发禹州市结核病防治管理办法的通知》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(禹政办〔2005〕53号)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《禹州市人民政府办公室关于印发&lt;禹州市气象灾害应急准备工作认证管理办法&gt;的通知》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(禹政办〔2010〕132号)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《禹州市人民政府办公室关于印发禹州市城乡公共体育设施建设工作实施方案的通知》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(禹政办〔2012〕96号)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《禹州市人民政府办公室关于印发禹州市银行业金融机构支持地方经济建设考核方案（试行）的通知》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(禹政办〔2012〕114号)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《禹州市人民政府办公室关于转发禹州市城镇低效用地再开发工作方案的通知》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(禹政办〔2014〕41号)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《禹州市人民政府办公室关于印发禹州市开展规范劳动用工及保障农民工工资支付综合检查工作实施方案的通知》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(禹政办〔2014〕64号)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《禹州市人民政府办公室关于印发禹州市仿古建筑陶瓷行业环境污染专项整治工作实施方案的通知》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(禹政办〔2015〕23号)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《禹州市人民政府办公室关于印发禹州市2015年度工业大气污染综合治理工作实施方案的通知》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(禹政办〔2015〕28号)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《禹州市人民政府办公室关于进一步加强煤矿安全生产工作的意见》</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(禹政办〔2015〕36号)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《禹州市人民政府办公室关于印发禹州市推广运用政府与社会资本合作（PPP）模式实施意见（试行）的通知》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(禹政办〔2016〕9号)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《禹州市人民政府办公室关于印发禹州市治理扬尘污染攻坚战实施方案（2016-2017年）等7个专项方案的通知》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(禹政办〔2016〕42号)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《禹州市人民政府办公室关于修订印发&lt;禹州市“十强”“十优”“十快”“十新”工业企业评选及奖励办法&gt;的通知》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《禹州市人民政府办公室关于印发禹州市农村信用体系建设实施方案的通知》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（禹政办〔2017〕46号）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《禹州市人民政府办公室关于印发&lt;禹州市工业类投资项目评估办法（试行）&gt;和&lt;禹州市非工业类投资项目评估办法（试行）&gt;的通知》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（禹政办〔2017〕57号）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《禹州市人民政府办公室关于印发&lt;禹州市政府励志奖学金实施办法（试行）&gt;的通知》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（禹政办〔2018〕4号）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《禹州市人民政府办公室关于进一步做好非洲猪瘟疫情防控工作的通知》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（禹政办〔2018〕46号）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《禹州市人民政府办公室关于印发禹州市商改居土地手续办理办法(试行)的通知》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(禹政办〔2018〕47号)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《禹州市人民政府办公室关于印发&lt;禹州市中药材担保风险补偿基金管理办法&gt;的通知》 </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(禹政办〔2018〕52号)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《禹州市人民政府办公室关于印发&lt;禹州市鼓励引导企业进区入园暂行办法&gt;的通知》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（禹政办〔2019〕9号）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《禹州市人民政府办公室关于印发禹州市整村推进农村“厕所革命”工作实施方案的通知》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（禹政办〔2019〕17号）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《禹州市人民政府办公室关于印发禹州市2020年度城乡居民基本医疗意外伤害补充保险实施方案的通知》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（禹政办〔2019〕30号）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《禹州市人民政府办公室关于印发禹州市总部经济奖励政策实施细则的通知》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（禹政办〔2019〕32号）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《禹州市人民政府办公室关于延长禹政办〔2018〕47号文件有效期的通知》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（禹政办〔2019〕42号）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《禹州市人民政府办公室关于推进城市建成区内重污染工业企业搬迁改造的实施意见》</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(禹政办〔2020〕18号)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《禹州市人民政府办公室关于印发禹州市加快5G产业发展三年行动计划（2020-2022年）的通知》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(禹政办〔2020〕32号)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5"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《禹州市人民政府办公室关于印发禹州市城区“私搭乱建、私拉乱扯、私立广告、私挖乱占”行为集中整治实施方案的通知》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《禹州市人民政府办公室关于印发河南省产业集聚区“百园增效”行动禹州市实施方案的通知》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(禹政办〔2021〕17号)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9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4950"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《禹州市人民政府办公室关于印发&lt;禹州市对上市（挂牌)企业奖补办法&gt;的通知》</w:t>
            </w:r>
          </w:p>
        </w:tc>
        <w:tc>
          <w:tcPr>
            <w:tcW w:w="2939"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(禹政办〔2022〕33号)</w:t>
            </w:r>
          </w:p>
        </w:tc>
      </w:tr>
    </w:tbl>
    <w:p>
      <w:pPr>
        <w:pStyle w:val="2"/>
      </w:pPr>
    </w:p>
    <w:p>
      <w:pPr>
        <w:pStyle w:val="2"/>
        <w:rPr>
          <w:rFonts w:hint="eastAsia"/>
        </w:rPr>
      </w:pPr>
    </w:p>
    <w:sectPr>
      <w:footerReference r:id="rId3" w:type="default"/>
      <w:pgSz w:w="11906" w:h="16838"/>
      <w:pgMar w:top="2098" w:right="1531"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8037"/>
        <w:tab w:val="clear" w:pos="4153"/>
      </w:tabs>
      <w:rPr>
        <w:rFonts w:hint="eastAsia" w:eastAsiaTheme="minorEastAsia"/>
        <w:lang w:eastAsia="zh-CN"/>
      </w:rPr>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dmZDg5N2JjMmQ5MDM1ZDA5NmU5NTg5Mjg4Y2FlYTMifQ=="/>
  </w:docVars>
  <w:rsids>
    <w:rsidRoot w:val="00D109D6"/>
    <w:rsid w:val="000163C1"/>
    <w:rsid w:val="000E5BCE"/>
    <w:rsid w:val="00383A57"/>
    <w:rsid w:val="004B7CAE"/>
    <w:rsid w:val="005534B3"/>
    <w:rsid w:val="006B7A4E"/>
    <w:rsid w:val="00D109D6"/>
    <w:rsid w:val="00D84F78"/>
    <w:rsid w:val="00DE7626"/>
    <w:rsid w:val="00E301A4"/>
    <w:rsid w:val="062205A5"/>
    <w:rsid w:val="07BD2988"/>
    <w:rsid w:val="096802A0"/>
    <w:rsid w:val="0BC827CE"/>
    <w:rsid w:val="11575BE9"/>
    <w:rsid w:val="12F75103"/>
    <w:rsid w:val="131400D1"/>
    <w:rsid w:val="22CB41A3"/>
    <w:rsid w:val="231A141F"/>
    <w:rsid w:val="26241999"/>
    <w:rsid w:val="268C54FE"/>
    <w:rsid w:val="2B687E1A"/>
    <w:rsid w:val="2C743611"/>
    <w:rsid w:val="2FE06A48"/>
    <w:rsid w:val="30501629"/>
    <w:rsid w:val="35E6001D"/>
    <w:rsid w:val="36952EC2"/>
    <w:rsid w:val="437454B8"/>
    <w:rsid w:val="44A26DB3"/>
    <w:rsid w:val="45D03745"/>
    <w:rsid w:val="46FE6075"/>
    <w:rsid w:val="4A365FD9"/>
    <w:rsid w:val="4BF63793"/>
    <w:rsid w:val="4E0B529F"/>
    <w:rsid w:val="532918A9"/>
    <w:rsid w:val="56A9602C"/>
    <w:rsid w:val="57FE67DF"/>
    <w:rsid w:val="584C65E0"/>
    <w:rsid w:val="599F7466"/>
    <w:rsid w:val="62822781"/>
    <w:rsid w:val="65074817"/>
    <w:rsid w:val="66C8580E"/>
    <w:rsid w:val="688B535D"/>
    <w:rsid w:val="6F3A1D2C"/>
    <w:rsid w:val="72C502BC"/>
    <w:rsid w:val="750E27C7"/>
    <w:rsid w:val="76A23636"/>
    <w:rsid w:val="797B23BD"/>
    <w:rsid w:val="7DB9740E"/>
    <w:rsid w:val="7DEA29A0"/>
    <w:rsid w:val="7FF2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toc 1"/>
    <w:basedOn w:val="1"/>
    <w:next w:val="1"/>
    <w:unhideWhenUsed/>
    <w:uiPriority w:val="39"/>
    <w:pPr>
      <w:spacing w:before="100" w:beforeAutospacing="1" w:line="0" w:lineRule="atLeast"/>
      <w:jc w:val="left"/>
    </w:pPr>
  </w:style>
  <w:style w:type="paragraph" w:styleId="3">
    <w:name w:val="Body Text First Indent"/>
    <w:basedOn w:val="4"/>
    <w:qFormat/>
    <w:uiPriority w:val="0"/>
    <w:pPr>
      <w:ind w:firstLine="420" w:firstLineChars="100"/>
    </w:pPr>
  </w:style>
  <w:style w:type="paragraph" w:styleId="4">
    <w:name w:val="Body Text"/>
    <w:basedOn w:val="1"/>
    <w:qFormat/>
    <w:uiPriority w:val="0"/>
    <w:pPr>
      <w:jc w:val="center"/>
    </w:pPr>
    <w:rPr>
      <w:rFonts w:eastAsia="黑体"/>
      <w:sz w:val="36"/>
      <w:szCs w:val="20"/>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themeColor="hyperlink"/>
      <w:u w:val="single"/>
    </w:rPr>
  </w:style>
  <w:style w:type="character" w:customStyle="1" w:styleId="10">
    <w:name w:val="页眉 Char"/>
    <w:basedOn w:val="7"/>
    <w:link w:val="6"/>
    <w:semiHidden/>
    <w:qFormat/>
    <w:uiPriority w:val="99"/>
    <w:rPr>
      <w:sz w:val="18"/>
      <w:szCs w:val="18"/>
    </w:rPr>
  </w:style>
  <w:style w:type="character" w:customStyle="1" w:styleId="11">
    <w:name w:val="页脚 Char"/>
    <w:basedOn w:val="7"/>
    <w:link w:val="5"/>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716</Words>
  <Characters>792</Characters>
  <Lines>3</Lines>
  <Paragraphs>1</Paragraphs>
  <ScaleCrop>false</ScaleCrop>
  <LinksUpToDate>false</LinksUpToDate>
  <CharactersWithSpaces>852</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2020-06-16T00:36:00Z</dcterms:created>
  <dc:creator>微软用户</dc:creator>
  <cp:lastModifiedBy>Administrator</cp:lastModifiedBy>
  <cp:lastPrinted>2020-06-22T01:56:00Z</cp:lastPrinted>
  <dcterms:modified xsi:type="dcterms:W3CDTF">2025-05-30T01:31:46Z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01C27CED56F341DCA1E31EE45DC8BF78</vt:lpwstr>
  </property>
  <property fmtid="{D5CDD505-2E9C-101B-9397-08002B2CF9AE}" pid="4" name="KSOTemplateDocerSaveRecord">
    <vt:lpwstr>eyJoZGlkIjoiMDdmZDg5N2JjMmQ5MDM1ZDA5NmU5NTg5Mjg4Y2FlYTMifQ==</vt:lpwstr>
  </property>
</Properties>
</file>