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spacing w:val="8"/>
          <w:sz w:val="33"/>
          <w:szCs w:val="33"/>
        </w:rPr>
      </w:pPr>
      <w:r>
        <w:rPr>
          <w:rFonts w:hint="eastAsia" w:ascii="方正小标宋简体" w:hAnsi="方正小标宋简体" w:eastAsia="方正小标宋简体" w:cs="方正小标宋简体"/>
          <w:b w:val="0"/>
          <w:bCs w:val="0"/>
          <w:i w:val="0"/>
          <w:iCs w:val="0"/>
          <w:caps w:val="0"/>
          <w:spacing w:val="8"/>
          <w:sz w:val="33"/>
          <w:szCs w:val="33"/>
          <w:bdr w:val="none" w:color="auto" w:sz="0" w:space="0"/>
          <w:shd w:val="clear" w:fill="FFFFFF"/>
        </w:rPr>
        <w:t>市场监管部门实施“查封”“扣押”依据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both"/>
        <w:textAlignment w:val="auto"/>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92" w:firstLineChars="200"/>
        <w:jc w:val="both"/>
        <w:textAlignment w:val="auto"/>
        <w:rPr>
          <w:rFonts w:hint="eastAsia" w:asciiTheme="minorEastAsia" w:hAnsiTheme="minorEastAsia" w:eastAsiaTheme="minorEastAsia" w:cstheme="minorEastAsia"/>
          <w:i w:val="0"/>
          <w:iCs w:val="0"/>
          <w:caps w:val="0"/>
          <w:color w:val="000000" w:themeColor="text1"/>
          <w:spacing w:val="8"/>
          <w:sz w:val="28"/>
          <w:szCs w:val="28"/>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本文汇集了市场监督管理部门实施行政强制措施依据，涉及36部法律法规中36条具体规定，条文分别涉及食品监督管理法律法规5部；药品、疫苗、医疗器械、危险化学品监督管理法律法规5部；公平交易监督管理法律法规3部；知识产权监管法律法规4部；产品质量监督管理法律法规5部；广告监督管理法律法规1部；登记管理法律法规5部；特种设备监督管理法律法规2部；计量监督管理法律法规2部；价格监督管理法律法规2部；打击传销、直销管理法律法规2部。具体法律法规及相关条文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both"/>
        <w:textAlignment w:val="auto"/>
        <w:rPr>
          <w:rFonts w:hint="eastAsia" w:asciiTheme="minorEastAsia" w:hAnsiTheme="minorEastAsia" w:eastAsiaTheme="minorEastAsia" w:cstheme="minorEastAsia"/>
          <w:i w:val="0"/>
          <w:iCs w:val="0"/>
          <w:caps w:val="0"/>
          <w:color w:val="000000" w:themeColor="text1"/>
          <w:spacing w:val="8"/>
          <w:sz w:val="28"/>
          <w:szCs w:val="28"/>
          <w14:textFill>
            <w14:solidFill>
              <w14:schemeClr w14:val="tx1"/>
            </w14:solidFill>
          </w14:textFill>
        </w:rPr>
      </w:pP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700" w:lineRule="exact"/>
        <w:ind w:left="559" w:leftChars="266" w:firstLine="0" w:firstLineChars="0"/>
        <w:jc w:val="left"/>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食品监督管理法律法规（5部）</w:t>
      </w:r>
    </w:p>
    <w:p>
      <w:pPr>
        <w:keepNext w:val="0"/>
        <w:keepLines w:val="0"/>
        <w:pageBreakBefore w:val="0"/>
        <w:widowControl/>
        <w:numPr>
          <w:numId w:val="0"/>
        </w:numPr>
        <w:suppressLineNumbers w:val="0"/>
        <w:kinsoku/>
        <w:wordWrap/>
        <w:overflowPunct/>
        <w:topLinePunct w:val="0"/>
        <w:autoSpaceDE/>
        <w:autoSpaceDN/>
        <w:bidi w:val="0"/>
        <w:adjustRightInd/>
        <w:snapToGrid/>
        <w:spacing w:line="700" w:lineRule="exact"/>
        <w:ind w:firstLine="560" w:firstLineChars="200"/>
        <w:jc w:val="left"/>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《中华人民共和国食品安全法》第一百一十条县级以上人民政府食品药品监督管理、质量监督部门履行各自食品安全监督管理职责，有权采取下列措施，对生产经营者遵守本法的情况进行监督检查：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592" w:firstLineChars="200"/>
        <w:jc w:val="left"/>
        <w:textAlignment w:val="auto"/>
        <w:rPr>
          <w:rFonts w:hint="eastAsia" w:asciiTheme="minorEastAsia" w:hAnsiTheme="minorEastAsia" w:eastAsiaTheme="minorEastAsia" w:cstheme="minorEastAsia"/>
          <w:i w:val="0"/>
          <w:iCs w:val="0"/>
          <w:caps w:val="0"/>
          <w:color w:val="000000" w:themeColor="text1"/>
          <w:spacing w:val="8"/>
          <w:sz w:val="28"/>
          <w:szCs w:val="28"/>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（一）进入生产经营场所实施现场检查；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592" w:firstLineChars="200"/>
        <w:jc w:val="left"/>
        <w:textAlignment w:val="auto"/>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（二）对生产经营的食品、食品添加剂、食品相关产品进行抽样检验；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592" w:firstLineChars="200"/>
        <w:jc w:val="left"/>
        <w:textAlignment w:val="auto"/>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（三）查阅、复制有关合同、票据、账簿以及其他有关资料；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92" w:firstLineChars="200"/>
        <w:jc w:val="left"/>
        <w:textAlignment w:val="auto"/>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（四）查封、扣押有证据证明不符合食品安全标准或者有证据证明存在安全隐患以及用于违法生产经营的食品、食品添加剂、食品相关产品；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592" w:firstLineChars="200"/>
        <w:jc w:val="left"/>
        <w:textAlignment w:val="auto"/>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8"/>
          <w:sz w:val="28"/>
          <w:szCs w:val="28"/>
          <w:bdr w:val="none" w:color="auto" w:sz="0" w:space="0"/>
          <w:shd w:val="clear" w:fill="FFFFFF"/>
          <w14:textFill>
            <w14:solidFill>
              <w14:schemeClr w14:val="tx1"/>
            </w14:solidFill>
          </w14:textFill>
        </w:rPr>
        <w:t>（五）查封违法从事生产经营活动的场所。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2</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《中华人民共和国食品安全法实施条例》第六十一条　县级以上人民政府食品安全监督管理部门依照食品安全法第一百一十条的规定实施查封、扣押措施，查封、扣押的期限不得超过30日；情况复杂的，经实施查封、扣押措施的食品安全监督管理部门负责人批准，可以延长，延长期限不得超过45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3</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《乳品质量安全监督管理条例》第四十七条 畜牧兽医、质量监督、工商行政管理等部门在依据各自职责进行监督检查时，行使下列职权:</w:t>
      </w: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（一）实施现场检查；（二）向有关人员调查、了解有关情况；（三）查阅、复制有关合同、票据、账簿、检验报告等资料;</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四）查封、扣押有证据证明不符合乳品质量安全国家标准的乳品以及违法使用的生鲜乳、辅料、添加剂;（五）查封涉嫌违法从事乳品生产经营活动的场所，扣押用于违法生产经营的工具、设备;（六）法律、行政法规规定的其他职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4</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《国务院关于加强食品等产品安全监督管理的特别规定》第十五条　农业、卫生、质检、商务、工商、药品等监督管理部门履行各自产品安全监督管理职责，有下列职权：（一）进入生产经营场所实施现场检查；（二）查阅、复制、查封、扣押有关合同、票据、账簿以及其他有关资料；（三）查封、扣押不符合法定要求的产品，违法使用的原料、辅料、添加剂、农业投入品以及用于违法生产的工具、设备；（四）查封存在危害人体健康和生命安全重大隐患的生产经营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5</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《食盐专营办法》第二十三条　盐业主管部门依法履行监督检查职责，可以采取下列措施：（一）向有关单位和个人了解情况；（二）查阅或者复制有关合同、票据、账簿、购销记录及其他有关资料；（三）查封、扣押与涉嫌盐业违法行为有关的食盐及原材料，以及用于违法生产或者销售食盐的工具、设备</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四）查封涉嫌违法生产或者销售食盐的场所。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采取前款第三项、第四项规定的措施，应当向盐业主管部门主要负责人书面报告，并经批准。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盐业主管部门调查涉嫌盐业违法行为，应当遵守《中华人民共和国行政强制法》和其他有关法律、行政法规的规定。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二、药品、疫苗、医疗器械、危险化学品监督管理法律法规(5部)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6</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药品管理法》第一百条药品监督管理部门根据监督管理的需要，可以对药品质量进行抽查检验。抽查检验应当按照规定抽样，并不得收取任何费用；抽样应当购买样品。所需费用按照国务院规定列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对有证据证明可能危害人体健康的药品及其有关材料，药品监督管理部门可以查封、扣押，并在七日内作出行政处理决定；药品需要检验的，应当自检验报告书发出之日起十五日内作出行政处理决定。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7</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《中华人民共和国疫苗管理法》第七十三条　疫苗存在或者疑似存在质量问题的，疫苗上市许可持有人、疾病预防控制机构、接种单位应当立即停止销售、配送、使用，必要时立即停止生产，按照规定向县级以上人民政府药品监督管理部门、卫生健康主管部门报告。卫生健康主管部门应当立即组织疾病预防控制机构和接种单位采取必要的应急处置措施，同时向上级人民政府卫生健康主管部门报告。药品监督管理部门应当依法采取查封、扣押等措施。对已经销售的疫苗，疫苗上市许可持有人应当及时通知相关疾病预防控制机构、疫苗配送单位、接种单位，按照规定召回，如实记录召回和通知情况，疾病预防控制机构、疫苗配送单位、接种单位应当予以配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未依照前款规定停止生产、销售、配送、使用或者召回疫苗的，县级以上人民政府药品监督管理部门、卫生健康主管部门应当按照各自职责责令停止生产、销售、配送、使用或者召回疫苗。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疫苗上市许可持有人、疾病预防控制机构、接种单位发现存在或者疑似存在质量问题的疫苗，不得瞒报、谎报、缓报、漏报，不得隐匿、伪造、毁灭有关证据。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8</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《医疗器械监督管理条例》第五十四条　食品药品监督管理部门在监督检查中有下列职权：（一）进入现场实施检查、抽取样品；（二）查阅、复制、查封、扣押有关合同、票据、账簿以及其他有关资料；（三）查封、扣押不符合法定要求的医疗器械，违法使用的零配件、原材料以及用于违法生产医疗器械的工具、设备；（四）查封违反本条例规定从事医疗器械生产经营活动的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食品药品监督管理部门进行监督检查，应当出示执法证件，保守被检查单位的商业秘密。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有关单位和个人应当对食品药品监督管理部门的监督检查予以配合，不得隐瞒有关情况。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9</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《危险化学品安全管理条例》第七条　负有危险化学品安全监督管理职责的部门依法进行监督检查，可以采取下列措施：（一）进入危险化学品作业场所实施现场检查，向有关单位和人员了解情况，查阅、复制有关文件、资料；（二）发现危险化学品事故隐患，责令立即消除或者限期消除；（三）对不符合法律、行政法规、规章规定或者国家标准、行业标准要求的设施、设备、装置、器材、运输工具，责令立即停止使用；（四）经本部门主要负责人批准，查封违法生产、储存、使用、经营危险化学品的场所，扣押违法生产、储存、使用、经营、运输的危险化学品以及用于违法生产、使用、运输危险化学品的原材料、设备、运输工具；（五）发现影响危险化学品安全的违法行为，当场予以纠正或者责令限期改正。负有危险化学品安全监督管理职责的部门依法进行监督检查，监督检查人员不得少于2人，并应当出示执法证件；有关单位和个人对依法进行的监督检查应当予以配合，不得拒绝、阻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10</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《易制毒化学品管理条例》第三十二条　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前款规定的行政主管部门在进行易制毒化学品监督检查时，可以依法查看现场、查阅和复制有关资料、记录有关情况、扣押相关的证据材料和违法物品；必要时，可以临时查封有关场所。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被检查的单位或者个人应当如实提供有关情况和材料、物品，不得拒绝或者隐匿。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三、公平交易监督管理法律法规（3部）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11</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《中华人民共和国反垄断法》第三十九条　反垄断执法机构调查涉嫌垄断行为，可以采取下列措施：</w:t>
      </w: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（一）进入被调查的经营者的营业场所或者其他有关场所进行检查；</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二）询问被调查的经营者、利害关系人或者其他有关单位或者个人，要求其说明有关情况；（三）查阅、复制被调查的经营者、利害关系人或者其他有关单位或者个人的有关单证、协议、会计账簿、业务函电、电子数据等文件、资料；（四）查封、扣押相关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（五）查询经营者的银行账户。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采取前款规定的措施，应当向反垄断执法机构主要负责人书面报告，并经批准。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12</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《中华人民共和国反不正当竞争法》第十三条  监督检查部门调查涉嫌不正当竞争行为，可以采取下列措施：（一）进入涉嫌不正当竞争行为的经营场所进行检查；（二）询问被调查的经营者、利害关系人及其他有关单位、个人，要求其说明有关情况或者提供与被调查行为有关的其他资料；（三）查询、复制与涉嫌不正当竞争行为有关的协议、账簿、单据、文件、记录、业务函电和其他资料；（四）查封、扣押与涉嫌不正当竞争行为有关的财物；（五）查询涉嫌不正当竞争行为的经营者的银行账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采取前款规定的措施，应当向监督检查部门主要负责人书面报告，并经批准。采取前款第四项、第五项规定的措施，应当向设区的市级以上人民政府监督检查部门主要负责人书面报告，并经批准。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13</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《国务院关于禁止在市场经济活动中实行地区封锁的规定》第二十四条　采取暴力、威胁等手段，欺行霸市、强买强卖，阻碍外地产品或者服务进入本地市场，构成违反治安管理行为的，由公安机关依照《中华人民共和国治安管理处罚条例》的规定予以处罚；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经营单位有前款规定行为的，并由工商行政管理部门依法对该经营单位予以处罚，直至责令停产停业、予以查封并吊销其营业执照。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四、知识产权监管法律法规（4部）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14</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《中华人民共和国专利法》第六十四条　管理专利工作的部门根据已经取得的证据，对涉嫌假冒专利行为进行查处时，可以询问有关当事人，调查与涉嫌违法行为有关的情况；对当事人涉嫌违法行为的场所实施现场检查；查阅、复制与涉嫌违法行为有关的合同、发票、账簿以及其他有关资料；检查与涉嫌违法行为有关的产品，对有证据证明是假冒专利的产品，可以查封或者扣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管理专利工作的部门依法行使前款规定的职权时，当事人应当予以协助、配合，不得拒绝、阻挠。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15</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《中华人民共和国商标法》第六十二条 县级以上工商行政管理部门根据已经取得的违法嫌疑证据或者举报，对涉嫌侵犯他人注册商标专用权的行为进行查处时，可以行使下列职权：（一）询问有关当事人，调查与侵犯他人注册商标专用权有关的情况；（二）查阅、复制当事人与侵权活动有关的合同、发票、账簿以及其他有关资料；（三）对当事人涉嫌从事侵犯他人注册商标专用权活动的场所实施现场检查；（四）检查与侵权活动有关的物品；对有证据证明是侵犯他人注册商标专用权的物品，可以查封或者扣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工商行政管理部门依法行使前款规定的职权时，当事人应当予以协助、配合，不得拒绝、阻挠。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88" w:firstLineChars="200"/>
        <w:jc w:val="both"/>
        <w:textAlignment w:val="auto"/>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在查处商标侵权案件过程中，对商标权属存在争议或者权利人同时向人民法院提起商标侵权诉讼的，工商行政管理部门可以中止案件的查处。中止原因消除后，应当恢复或者终结案件查处程序。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88"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16</w:t>
      </w:r>
      <w:r>
        <w:rPr>
          <w:rFonts w:hint="eastAsia" w:asciiTheme="minorEastAsia" w:hAnsi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《世界博览会标志保护条例》第十条　工商行政管理部门根据已经取得的违法嫌疑证据或者举报查处涉嫌侵犯世界博览会标志专有权的行为时，可以行使下列职权：</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一）询问有关当事人，调查与侵犯世界博览会标志专有权有关的情况；（二）查阅、复制与侵权活动有关的合同、发票、账簿以及其他有关资料；（三）对当事人涉嫌侵犯世界博览会标志专有权活动的场所实施现场检查；（四）检查与侵权活动有关的物品；对有证据证明侵犯世界博览会标志专有权的物品，予以查封或者扣押。</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工商行政管理部门依法行使前款规定的职权时，当事人应当予以协助、配合，不得拒绝、阻挠。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17</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《奥林匹克标志保护条例》第十三条　对侵犯奥林匹克标志专有权的行为，市场监督管理部门有权依法查处。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市场监督管理部门根据已经取得的违法嫌疑证据或者举报，对涉嫌侵犯奥林匹克标志专有权的行为进行查处时，可以行使下列职权：（一）询问有关当事人，调查与侵犯奥林匹克标志专有权有关的情况；（二）查阅、复制与侵权活动有关的合同、发票、账簿以及其他有关资料；（三）对当事人涉嫌侵犯奥林匹克标志专有权活动的场所实施现场检查；（四）检查与侵权活动有关的物品；对有证据证明是侵犯奥林匹克标志专有权的物品，予以查封或者扣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市场监督管理部门依法行使前款规定的职权时，当事人应当予以协助、配合，不得拒绝、阻挠。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五、产品质量监督管理法律法规(5部)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18</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产品质量法》第十八条县级以上市场监督管理部门根据已经取得的违法嫌疑证据或者举报，对涉嫌违反本法规定的行为进行查处时可以行使下列职权:(一)对当事人涉嫌从事违反本法的生产、销售活动的场所实施现场检查；(二)向当事人的法定代表人、主要负责人和其他有关人员调查、了解与涉嫌从事违反本法的生产、销售活动有关的情况；(三)查阅、复制当事人有关的合同、发票、帐簿以及其他有关资料;(四)对有根据认为不符合保障人体健康和人身、财产安全的国家标准、</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行业标准的产品或者有其他严重质量问题的产品，以及直接用于生产、销售该项产品的原辅材料、包装物、生产工具，予以查封或者扣押。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19</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《中华人民共和国大气污染防治法》第三十条　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20</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《棉花质量监督管理条例》第二十条　棉花质量监督机构在实施棉花质量监督检查过程中，根据违法嫌疑证据或者举报，对涉嫌违反本条例规定的行为进行查处时，可以行使下列职权：</w:t>
      </w: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（一）对涉嫌从事违反本条例的经营活动的场所实施现场检查；</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（二）向棉花经营单位的有关人员调查、了解与涉嫌从事违反本条例的经营活动有关的情况；（三）查阅、复制与棉花经营有关的合同、单据、账簿以及其他资料</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（四）对涉嫌掺杂掺假、以次充好、以假充真或者其他有严重质量问题的棉花以及专门用于生产掺杂掺假、以次充好、以假充真的棉花的设备、工具予以查封或者扣押。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21</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《强制性产品认证管理规定》第三十八条　地方质检两局进行强制性产品认证监督检查时，可以依法进入生产经营场所实施现场检查，查阅、复制有关合同、票据、账薄以及其他资料，查封、扣押未经认证的产品或者不符合认证要求的产品。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1120" w:firstLineChars="4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22</w:t>
      </w:r>
      <w:r>
        <w:rPr>
          <w:rFonts w:hint="eastAsia" w:asciiTheme="minorEastAsia" w:hAnsiTheme="minorEastAsia" w:cstheme="minorEastAsia"/>
          <w:color w:val="000000" w:themeColor="text1"/>
          <w:kern w:val="0"/>
          <w:sz w:val="28"/>
          <w:szCs w:val="28"/>
          <w:bdr w:val="none" w:color="auto" w:sz="0" w:space="0"/>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军服管理条例》第十二条违反本条例规定，有下列情形之一的，由工商行政管理部门没收违法物品和违法所得，处1万元以上10万元以下的罚款；违法经营数额巨大的，吊销营业执照；构成犯罪的，依法追究刑事责任：（一）非法生产军服、军服专用材料的；（二）买卖军服、军服专用材料的；（三）生产、销售军服仿制品的。</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工商行政管理部门发现涉嫌非法生产、销售军服或者军服仿制品的行为时，可以查封、扣押涉嫌物品。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90" w:firstLineChars="200"/>
        <w:jc w:val="both"/>
        <w:textAlignment w:val="auto"/>
        <w:rPr>
          <w:rStyle w:val="6"/>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六、广告监督管理法律法规(1部)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23.《中华人民共和国广告法》第四十九条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广告作品和其他有关资料；（五）查封、扣押与涉嫌违法广告直接相关的广告物品、经营工具、设备等财物；（六）责令暂停发布可能造成严重后果的涉嫌违法广告；（七）法律、行政法规规定的其他职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市场监督管理部门应当建立健全广告监测制度，完善监测措施，及时发现和依法查处违法广告行为。</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登记管理法律法规（5部）</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《中华人民共和国公司登记管理条例》第六十一条　公司登记机关对需要认定的营业执照，可以临时扣留，扣留期限不得超过10天。</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《外国企业常驻代表机构登记管理条例》第二十一条  登记机关对代表机构涉嫌违反本条例的行为进行查处，可以依法行使下列职权：（一）向有关的单位和个人调查、了解情况；（二）查阅、复制、查封、扣押与违法行为有关的合同、票据、账簿以及其他资料；（三）查封、扣押专门用于从事违法行为的工具、设备、原材料、产品（商品）等财物；（四）查询从事违法行为的代表机构的账户以及与存款有关的会计凭证、账簿、对账单等。</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《无证无照经营查处办法》第十一条　县级以上人民政府工商行政管理部门对涉嫌无照经营进行查处，可以行使下列职权：（一）责令停止相关经营活动；（二）向与涉嫌无照经营有关的单位和个人调查了解有关情况；（三）进入涉嫌从事无照经营的场所实施现场检查；（四）查阅、复制与涉嫌无照经营有关的合同、票据、账簿以及其他有关资料。</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对涉嫌从事</w:t>
      </w:r>
      <w:r>
        <w:rPr>
          <w:rFonts w:hint="eastAsia" w:asciiTheme="minorEastAsia" w:hAnsiTheme="minorEastAsia" w:eastAsiaTheme="minorEastAsia" w:cstheme="minorEastAsia"/>
          <w:color w:val="000000" w:themeColor="text1"/>
          <w:spacing w:val="7"/>
          <w:kern w:val="0"/>
          <w:sz w:val="28"/>
          <w:szCs w:val="28"/>
          <w:bdr w:val="none" w:color="auto" w:sz="0" w:space="0"/>
          <w:lang w:val="en-US" w:eastAsia="zh-CN" w:bidi="ar"/>
          <w14:textFill>
            <w14:solidFill>
              <w14:schemeClr w14:val="tx1"/>
            </w14:solidFill>
          </w14:textFill>
        </w:rPr>
        <w:t>无照经营的场所，可以予以查封；对涉嫌用于无照经营的工具、设备、原材料、产品（商品）等物品，可以予以查封、扣押。</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对涉嫌无证经营进行查处，依照相关法律、法规的规定采取措施。</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《中华人民共和国道路交通安全法》第一百零三条 国家机动车产品主管部门未按照机动车国家安全技术标准严格审查，许可不合格机动车型投入生产的，对负有责任的主管人员和其他直接责任人员给予降级或者撤职的行政处分。</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机动车生产企业经国家机动车产品主管部门许可生产的机动车型，不执行机动车国家安全技术标准或者不严格进行机动车成品质量检验，致使质量不合格的机动车出厂销售的，由质量技术监督部门依照《中华人民共和国产品质量法》的有关规定给予处罚。</w:t>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擅自生产、销售未经国家机动车产品主管部门许可生产的机动车型的，没收非法生产、销售的机动车成品及配件，可以并处非法产品价值三倍以上五倍以下罚款；有营业执照的，由工商行政管理部门吊销营业执照，没有营业执照的，予以查封。</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生产、销售拼装的机动车或者生产、销售擅自改装的机动车的，依照本条第三款的规定处罚。</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有本条第二款、第三款、第四款所列违法行为，生产或者销售不符合机动车国家安全技术标准的机动车，构成犯罪的，依法追究刑事责任。</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《中华人民共和国工业产品生产许可证管理条例》第三十七条　县级以上工业产品生产许可证主管部门根据已经取得的违法嫌疑证据或者举报，对涉嫌违反本条例的行为进行查处并可以行使下列职权：（一）向有关生产、销售或者在经营活动中使用列入目录产品的单位和检验机构的法定代表人、主要负责人和其他有关人员调查、了解有关涉嫌从事违反本条例活动的情况；（二）查阅、复制有关生产、销售或者在经营活动中使用列入目录产品的单位和检验机构的有关合同、发票、账簿以及其他有关资料；（三）对有证据表明属于违反本条例生产、销售或者在经营活动中使用的列入目录产品予以查封或者扣押。</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县级以上工商行政管理部门依法对涉嫌违反本条例规定的行为进行查处时，也可以行使前款规定的职权。</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特种设备监督管理法律法规（2部）</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《中华人民共和国特种设备安全法》第六十一条 负责特种设备安全监督管理的部门在依法履行监督检查职责时，可以行使下列职权：（一）进入现场进行检查，向特种设备生产、经营、使用单位和检验、检测机构的主要负责人和其他有关人员调查、了解有关情况；（二）根据举报或者取得的涉嫌违法证据，查阅、复制特种设备生产、经营、使用单位和检验、检测机构的有关合同、发票、账簿以及其他有关资料；（三）对有证据表明不符合安全技术规范要求或者存在严重事故隐患的特种设备实施查封、扣押；（四）对流入市场的达到报废条件或者已经报废的特种设备实施查封、扣押；（五）对违反本法规定的行为作出行政处罚决定。</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《中华人民共和国特种设备安全监察条例》第五十一条  特种设备安全监督管理部门根据举报或者取得的涉嫌违法证据，对涉嫌违反本条例规定的行为进行查处时，可以行使下列职权：（一）向特种设备生产、使用单位和检验检测机构的法定代表人、主要负责人和其他有关人员调查、了解与涉嫌从事违反本条例的生产、使用、检验检测有关的情况；（二）查阅、复制特种设备生产、使用单位和检验检测机构的有关合同、发票、账簿以及其他有关资料；（三）对有证据表明不符合安全技术规范要求的或者有其他严重事故隐患、能耗严重超标的特种设备，予以查封或者扣押。</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计量监督管理法律法规(2部)</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《中华人民共和国计量法实施细则》第四十四条  制造、销售未经型式批准或样机试验合格的计量器具新产品的，责令其停止制造、销售，封存该种新产品，没收全部违法所得，可并处三千元以下的罚款。</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《中华人民共和国进口计量器具监督管理办法》第十六条  违反本办法第四条规定，进口或销售未经国务院计量行政部门型式批准的计量器具的，计量行政部门有权封存其计量器具，责令其补办型式批准手续，并可处以相当于进口或销售额百分之三十以下的罚款。</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价格监督管理法律法规(2部)</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《中华人民共和国价格法》第三十四条  政府价格主管部门进行价格监督检查时，可以行使下列职权：（一）询问当事人或者有关人员，并要求其提供证明材料和与价格违法行为有关的其他资料；（二）查询、复制与价格违法行为有关的账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《价格违法行为行政处罚规定》第十五条  政府价格主管部门进行价格监督检查时，发现经营者的违法行为同时具有下列三种情形的，可以依照价格法第三十四条第（三）项的规定责令其暂停相关营业：（一）违法行为情节复杂或者情节严重，经查明后可能给予较重处罚的；（二）不暂停相关营业，违法行为将继续的；（三）不暂停相关营业，可能影响违法事实的认定，采取其他措施又不足以保证查明的。</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政府价格主管部门进行价格监督检查时，执法人员不得少于2人，并应当向经营者或者有关人员出示证件。</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2" w:firstLineChars="200"/>
        <w:jc w:val="both"/>
        <w:textAlignment w:val="auto"/>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Style w:val="6"/>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打击传销、直销管理法律法规（2部）</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《禁止传销条例》第十四条　县级以上工商行政管理部门对涉嫌传销行为进行查处时，可以采取下列措施：（一）责令停止相关活动；（二）向涉嫌传销的组织者、经营者和个人调查、了解有关情况；（三）进入涉嫌传销的经营场所和培训、集会等活动场所，实施现场检查；（四）查阅、复制、查封、扣押涉嫌传销的有关合同、票据、账簿等资料；（五）查封、扣押涉嫌专门用于传销的产品（商品）、工具、设备、原材料等财物；（六）查封涉嫌传销的经营场所；（七）查询涉嫌传销的组织者或者经营者的账户及与存款有关的会计凭证、账簿、对账单等；（八）对有证据证明转移或者隐匿违法资金的，可以申请司法机关予以冻结。</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监督检查部门调查涉嫌不正当竞争行为，应当遵守《中华人民共和国行政强制法》和其他有关法律、行政法规的规定，并应当将查处结果及时向社会公开。</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leftChars="0" w:right="0" w:rightChars="0" w:firstLine="560" w:firstLineChars="200"/>
        <w:jc w:val="both"/>
        <w:textAlignment w:val="auto"/>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《直销管理条例》第三十五条　工商行政管理部门负责对直销企业和直销员及其直销活动实施日常的监督管理。工商行政管理部门可以采取下列措施进行现场检查：（一）进入相关企业进行检查;（二）要求相关企业提供有关文件、资料和证明材料;（三）询问当事人、利害关系人和其他有关人员，并要求其提供有关材料;（四）查阅、复制、查封、扣押相关企业与直销活动有关的材料和非法财物;（五）检查有关人员的直销培训员证、直销员证等证件。</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rightChars="0" w:firstLine="560" w:firstLineChars="200"/>
        <w:jc w:val="both"/>
        <w:textAlignment w:val="auto"/>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0" w:name="_GoBack"/>
      <w:bookmarkEnd w:id="0"/>
      <w:r>
        <w:rPr>
          <w:rFonts w:hint="eastAsia" w:asciiTheme="minorEastAsia" w:hAnsiTheme="minorEastAsia" w:eastAsiaTheme="minorEastAsia" w:cstheme="minorEastAsia"/>
          <w:color w:val="000000" w:themeColor="text1"/>
          <w:kern w:val="0"/>
          <w:sz w:val="28"/>
          <w:szCs w:val="28"/>
          <w:bdr w:val="none" w:color="auto" w:sz="0" w:space="0"/>
          <w:lang w:val="en-US" w:eastAsia="zh-CN" w:bidi="ar"/>
          <w14:textFill>
            <w14:solidFill>
              <w14:schemeClr w14:val="tx1"/>
            </w14:solidFill>
          </w14:textFill>
        </w:rPr>
        <w:t>工商行政管理部门依照前款规定进行现场检查时，检查人员不得少于2人，并应当出示合法证件;实施查封、扣押的，必须经县级以上工商行政管理部门主要负责人批准。</w:t>
      </w:r>
    </w:p>
    <w:p>
      <w:pPr>
        <w:rPr>
          <w:rFonts w:hint="eastAsia" w:asciiTheme="minorEastAsia" w:hAnsiTheme="minorEastAsia" w:eastAsiaTheme="minorEastAsia" w:cstheme="minorEastAsia"/>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Yu Gothic UI Semibold">
    <w:panose1 w:val="020B0700000000000000"/>
    <w:charset w:val="80"/>
    <w:family w:val="auto"/>
    <w:pitch w:val="default"/>
    <w:sig w:usb0="E00002FF" w:usb1="2AC7FDFF" w:usb2="00000016" w:usb3="00000000" w:csb0="2002009F" w:csb1="00000000"/>
  </w:font>
  <w:font w:name="MS UI Gothic">
    <w:panose1 w:val="020B0600070205080204"/>
    <w:charset w:val="80"/>
    <w:family w:val="auto"/>
    <w:pitch w:val="default"/>
    <w:sig w:usb0="E00002FF" w:usb1="6AC7FDFB" w:usb2="08000012" w:usb3="00000000" w:csb0="4002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177EC"/>
    <w:multiLevelType w:val="singleLevel"/>
    <w:tmpl w:val="819177EC"/>
    <w:lvl w:ilvl="0" w:tentative="0">
      <w:start w:val="24"/>
      <w:numFmt w:val="decimal"/>
      <w:suff w:val="nothing"/>
      <w:lvlText w:val="%1、"/>
      <w:lvlJc w:val="left"/>
    </w:lvl>
  </w:abstractNum>
  <w:abstractNum w:abstractNumId="1">
    <w:nsid w:val="9E901316"/>
    <w:multiLevelType w:val="singleLevel"/>
    <w:tmpl w:val="9E901316"/>
    <w:lvl w:ilvl="0" w:tentative="0">
      <w:start w:val="1"/>
      <w:numFmt w:val="chineseCounting"/>
      <w:suff w:val="nothing"/>
      <w:lvlText w:val="%1、"/>
      <w:lvlJc w:val="left"/>
      <w:rPr>
        <w:rFonts w:hint="eastAsia"/>
      </w:rPr>
    </w:lvl>
  </w:abstractNum>
  <w:abstractNum w:abstractNumId="2">
    <w:nsid w:val="733A1AB4"/>
    <w:multiLevelType w:val="singleLevel"/>
    <w:tmpl w:val="733A1AB4"/>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MzQyNWU3NzFkNDhjNTBhM2JlNjU0NGIxYjY1OTgifQ=="/>
  </w:docVars>
  <w:rsids>
    <w:rsidRoot w:val="00000000"/>
    <w:rsid w:val="6D2D4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23</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2024-06-18T02:30:48Z</dcterms:created>
  <dc:creator>Administrator</dc:creator>
  <cp:lastModifiedBy>Administrator</cp:lastModifiedBy>
  <dcterms:modified xsi:type="dcterms:W3CDTF">2024-06-18T02:54:41Z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25583F5D59D24671B9726FC27CB14845_12</vt:lpwstr>
  </property>
</Properties>
</file>