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5873" w:rsidRPr="008A5873" w:rsidRDefault="00594A56" w:rsidP="007B1D71">
      <w:pPr>
        <w:widowControl/>
        <w:shd w:val="clear" w:color="auto" w:fill="FFFFFF"/>
        <w:spacing w:line="580" w:lineRule="exact"/>
        <w:jc w:val="center"/>
        <w:rPr>
          <w:rFonts w:ascii="方正小标宋简体" w:eastAsia="方正小标宋简体" w:hAnsi="仿宋"/>
          <w:sz w:val="44"/>
          <w:szCs w:val="44"/>
        </w:rPr>
      </w:pPr>
      <w:r>
        <w:rPr>
          <w:rFonts w:ascii="方正小标宋简体" w:eastAsia="方正小标宋简体" w:hAnsi="仿宋" w:hint="eastAsia"/>
          <w:sz w:val="44"/>
          <w:szCs w:val="44"/>
        </w:rPr>
        <w:t>身边的统计指标解读（一）</w:t>
      </w:r>
    </w:p>
    <w:p w:rsidR="008A5873" w:rsidRDefault="008A5873" w:rsidP="007B1D71">
      <w:pPr>
        <w:widowControl/>
        <w:shd w:val="clear" w:color="auto" w:fill="FFFFFF"/>
        <w:spacing w:line="580" w:lineRule="exact"/>
        <w:ind w:firstLineChars="200" w:firstLine="640"/>
        <w:rPr>
          <w:rFonts w:ascii="仿宋_GB2312" w:eastAsia="仿宋_GB2312" w:hAnsi="仿宋"/>
          <w:sz w:val="32"/>
          <w:szCs w:val="32"/>
        </w:rPr>
      </w:pPr>
    </w:p>
    <w:p w:rsidR="00FC327A" w:rsidRPr="007B1D71" w:rsidRDefault="00594A56" w:rsidP="007B1D71">
      <w:pPr>
        <w:widowControl/>
        <w:shd w:val="clear" w:color="auto" w:fill="FFFFFF"/>
        <w:spacing w:line="580" w:lineRule="exact"/>
        <w:ind w:firstLineChars="200" w:firstLine="640"/>
        <w:rPr>
          <w:rFonts w:ascii="黑体" w:eastAsia="黑体" w:hAnsi="黑体" w:hint="eastAsia"/>
          <w:sz w:val="32"/>
          <w:szCs w:val="32"/>
        </w:rPr>
      </w:pPr>
      <w:r w:rsidRPr="007B1D71">
        <w:rPr>
          <w:rFonts w:ascii="黑体" w:eastAsia="黑体" w:hAnsi="黑体" w:hint="eastAsia"/>
          <w:sz w:val="32"/>
          <w:szCs w:val="32"/>
        </w:rPr>
        <w:t>一、国内生产总值</w:t>
      </w:r>
    </w:p>
    <w:p w:rsidR="00594A56" w:rsidRDefault="00594A56" w:rsidP="007B1D71">
      <w:pPr>
        <w:widowControl/>
        <w:shd w:val="clear" w:color="auto" w:fill="FFFFFF"/>
        <w:spacing w:line="58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国内生产总值（Gross Domestic Product,简称GDP）世界组织和各国官方普遍认可、广泛采用的重要经济指标。GDP是指一个国家或地区的所有常住单位在一定时期内生产活动的最终成果，反映一个国家或地区的经济总体规模和经济结构。从不同角度观察生产活动的成果，GDP核算方法可以分为生产法、收入法和支出法。</w:t>
      </w:r>
    </w:p>
    <w:p w:rsidR="00594A56" w:rsidRDefault="00594A56" w:rsidP="007B1D71">
      <w:pPr>
        <w:widowControl/>
        <w:shd w:val="clear" w:color="auto" w:fill="FFFFFF"/>
        <w:spacing w:line="58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生产法是从生产角度衡量常住单位在核算期内的最终成果。生产法消除了生产各环节之间的重复计算，</w:t>
      </w:r>
      <w:r w:rsidR="00F25896">
        <w:rPr>
          <w:rFonts w:ascii="仿宋_GB2312" w:eastAsia="仿宋_GB2312" w:hAnsi="仿宋" w:hint="eastAsia"/>
          <w:sz w:val="32"/>
          <w:szCs w:val="32"/>
        </w:rPr>
        <w:t>从全社会来看，国民经济各行业生产法增加值之和就是生产法GDP总量。核算公式：增加值=总产出-中间投入。</w:t>
      </w:r>
    </w:p>
    <w:p w:rsidR="00F25896" w:rsidRDefault="00F25896" w:rsidP="007B1D71">
      <w:pPr>
        <w:widowControl/>
        <w:shd w:val="clear" w:color="auto" w:fill="FFFFFF"/>
        <w:spacing w:line="58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收入法（也称分配法）是从生产过程形成收入的角度，根据生产要素赢得收入份额反映生产过程中最终成果的计算方法。其中，个人所得为劳动报酬，企业所得为固定资产折旧和营业盈余，国家所得为生产税净额。各行业收入法增加值之和就是收入法GDP总量。核算公式：增加值=劳动者报酬+生产税净额+固定资产折旧+营业盈余。</w:t>
      </w:r>
    </w:p>
    <w:p w:rsidR="00F25896" w:rsidRDefault="00F25896" w:rsidP="007B1D71">
      <w:pPr>
        <w:widowControl/>
        <w:shd w:val="clear" w:color="auto" w:fill="FFFFFF"/>
        <w:spacing w:line="58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支出法是从最终支出的角度衡量核算期内新生产的货物和服务最终去向的计算方法。其中，最终消费支出和资本形成总额反映国内的消费需求和投资需求，货物和服务净出口是出口扣减进口后的差额。核算公式：增加值=最终消费支出+资本形成总额+货物与服务净出口。</w:t>
      </w:r>
    </w:p>
    <w:p w:rsidR="00F25896" w:rsidRPr="00FC327A" w:rsidRDefault="00F25896" w:rsidP="007B1D71">
      <w:pPr>
        <w:widowControl/>
        <w:shd w:val="clear" w:color="auto" w:fill="FFFFFF"/>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lastRenderedPageBreak/>
        <w:t>中国对外公布按照生产法、收入法和支出法计算的GDP，以按照生产法和收入法混合计算的GDP为标准。GDP核算分为季度核算和年度核算，按照现价和不变价分别核算。现价核算采用的是当期的价格，不变价核算采用的是固定基期的价格。</w:t>
      </w:r>
      <w:r w:rsidR="00272D34">
        <w:rPr>
          <w:rFonts w:ascii="仿宋_GB2312" w:eastAsia="仿宋_GB2312" w:hAnsi="仿宋" w:hint="eastAsia"/>
          <w:sz w:val="32"/>
          <w:szCs w:val="32"/>
        </w:rPr>
        <w:t>按现价计算的指标，在不同年份之间的变动包含价格变动和</w:t>
      </w:r>
      <w:proofErr w:type="gramStart"/>
      <w:r w:rsidR="00272D34">
        <w:rPr>
          <w:rFonts w:ascii="仿宋_GB2312" w:eastAsia="仿宋_GB2312" w:hAnsi="仿宋" w:hint="eastAsia"/>
          <w:sz w:val="32"/>
          <w:szCs w:val="32"/>
        </w:rPr>
        <w:t>物量</w:t>
      </w:r>
      <w:proofErr w:type="gramEnd"/>
      <w:r w:rsidR="00272D34">
        <w:rPr>
          <w:rFonts w:ascii="仿宋_GB2312" w:eastAsia="仿宋_GB2312" w:hAnsi="仿宋" w:hint="eastAsia"/>
          <w:sz w:val="32"/>
          <w:szCs w:val="32"/>
        </w:rPr>
        <w:t>变动的因素，必须消除价格变动的因素后才能真实反映经济发展动态。扣除价格变动因素后的价格称为不变价格，是以某年份现价作为基期扣除价格变动因素，计算与某指定年份相比的增长速度。</w:t>
      </w:r>
      <w:r>
        <w:rPr>
          <w:rFonts w:ascii="仿宋_GB2312" w:eastAsia="仿宋_GB2312" w:hAnsi="仿宋" w:hint="eastAsia"/>
          <w:sz w:val="32"/>
          <w:szCs w:val="32"/>
        </w:rPr>
        <w:t>全国GDP数据由国家统计局统一对外发布，分为初步核算数、初步核实数和最终核实数。</w:t>
      </w:r>
    </w:p>
    <w:p w:rsidR="00FC327A" w:rsidRPr="007B1D71" w:rsidRDefault="00272D34" w:rsidP="007B1D71">
      <w:pPr>
        <w:widowControl/>
        <w:shd w:val="clear" w:color="auto" w:fill="FFFFFF"/>
        <w:spacing w:line="580" w:lineRule="exact"/>
        <w:ind w:firstLineChars="200" w:firstLine="640"/>
        <w:rPr>
          <w:rFonts w:ascii="黑体" w:eastAsia="黑体" w:hAnsi="黑体" w:hint="eastAsia"/>
          <w:sz w:val="32"/>
          <w:szCs w:val="32"/>
        </w:rPr>
      </w:pPr>
      <w:r w:rsidRPr="007B1D71">
        <w:rPr>
          <w:rFonts w:ascii="黑体" w:eastAsia="黑体" w:hAnsi="黑体"/>
          <w:sz w:val="32"/>
          <w:szCs w:val="32"/>
        </w:rPr>
        <w:t>二、固定资产投资</w:t>
      </w:r>
    </w:p>
    <w:p w:rsidR="00272D34" w:rsidRPr="00FC327A" w:rsidRDefault="00272D34" w:rsidP="007B1D71">
      <w:pPr>
        <w:widowControl/>
        <w:shd w:val="clear" w:color="auto" w:fill="FFFFFF"/>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固定资产投资是一个国家经济增长的前提保证，</w:t>
      </w:r>
      <w:r w:rsidR="003F05AA">
        <w:rPr>
          <w:rFonts w:ascii="仿宋_GB2312" w:eastAsia="仿宋_GB2312" w:hAnsi="仿宋" w:hint="eastAsia"/>
          <w:sz w:val="32"/>
          <w:szCs w:val="32"/>
        </w:rPr>
        <w:t>是优化产业结构的重要途径，也是实现经济持续健康发展的重要动力。</w:t>
      </w:r>
      <w:r>
        <w:rPr>
          <w:rFonts w:ascii="仿宋_GB2312" w:eastAsia="仿宋_GB2312" w:hAnsi="仿宋" w:hint="eastAsia"/>
          <w:sz w:val="32"/>
          <w:szCs w:val="32"/>
        </w:rPr>
        <w:t>是指建造和购置固定资产的经济活动，它是</w:t>
      </w:r>
      <w:r w:rsidR="002F4A6A">
        <w:rPr>
          <w:rFonts w:ascii="仿宋_GB2312" w:eastAsia="仿宋_GB2312" w:hAnsi="仿宋" w:hint="eastAsia"/>
          <w:sz w:val="32"/>
          <w:szCs w:val="32"/>
        </w:rPr>
        <w:t>社会增加固定资产、扩大生产规模、发展国民经济的重要手段，也是提高人民物质文化生活水平的条件。</w:t>
      </w:r>
    </w:p>
    <w:p w:rsidR="009B66DE" w:rsidRDefault="002F4A6A" w:rsidP="007B1D71">
      <w:pPr>
        <w:widowControl/>
        <w:shd w:val="clear" w:color="auto" w:fill="FFFFFF"/>
        <w:spacing w:line="580" w:lineRule="exact"/>
        <w:ind w:firstLineChars="200" w:firstLine="640"/>
        <w:rPr>
          <w:rFonts w:ascii="仿宋_GB2312" w:eastAsia="仿宋_GB2312" w:hAnsi="仿宋" w:hint="eastAsia"/>
          <w:sz w:val="32"/>
          <w:szCs w:val="32"/>
        </w:rPr>
      </w:pPr>
      <w:r>
        <w:rPr>
          <w:rFonts w:ascii="仿宋_GB2312" w:eastAsia="仿宋_GB2312" w:hAnsi="仿宋"/>
          <w:sz w:val="32"/>
          <w:szCs w:val="32"/>
        </w:rPr>
        <w:t>固定资产是指为生产商品、提供劳务、出租、经营或管理而持有，使用期限在一年以上的房屋及建筑物、机器、机械、运输工具以及其他与生产、经营、管理有关的设备、器具、工具等。固定资产投资额是以货币表现的建造和购置固定资产活动的工作量，它是反映固定资产投资规模、速度、比例关系和使用方向的综合性指标。</w:t>
      </w:r>
    </w:p>
    <w:p w:rsidR="003F05AA" w:rsidRDefault="003F05AA" w:rsidP="007B1D71">
      <w:pPr>
        <w:widowControl/>
        <w:shd w:val="clear" w:color="auto" w:fill="FFFFFF"/>
        <w:spacing w:line="58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固定资产投资额是监测投资变化的重要指标，</w:t>
      </w:r>
      <w:r w:rsidRPr="003F05AA">
        <w:rPr>
          <w:rFonts w:ascii="仿宋_GB2312" w:eastAsia="仿宋_GB2312" w:hAnsi="仿宋" w:hint="eastAsia"/>
          <w:sz w:val="32"/>
          <w:szCs w:val="32"/>
        </w:rPr>
        <w:t>是经济运行热度的重要测量器。一个地区的投资增长要和本地区的发</w:t>
      </w:r>
      <w:r w:rsidRPr="003F05AA">
        <w:rPr>
          <w:rFonts w:ascii="仿宋_GB2312" w:eastAsia="仿宋_GB2312" w:hAnsi="仿宋" w:hint="eastAsia"/>
          <w:sz w:val="32"/>
          <w:szCs w:val="32"/>
        </w:rPr>
        <w:lastRenderedPageBreak/>
        <w:t>展阶段相适应。在发展初期，较快的投资增长能促进经济的快速发展，当发展到一定阶段后，保持适度的投资增长才能促进经济健康发展。同时，投资规模要和本地区的经济状况相协调，投资规模超过本地区经济的承受能力，也会影响经济的健康发展。一般来说，投资的适度增长能促进经济持久发展</w:t>
      </w:r>
      <w:r>
        <w:rPr>
          <w:rFonts w:ascii="仿宋_GB2312" w:eastAsia="仿宋_GB2312" w:hAnsi="仿宋" w:hint="eastAsia"/>
          <w:sz w:val="32"/>
          <w:szCs w:val="32"/>
        </w:rPr>
        <w:t>；</w:t>
      </w:r>
      <w:r w:rsidRPr="003F05AA">
        <w:rPr>
          <w:rFonts w:ascii="仿宋_GB2312" w:eastAsia="仿宋_GB2312" w:hAnsi="仿宋" w:hint="eastAsia"/>
          <w:sz w:val="32"/>
          <w:szCs w:val="32"/>
        </w:rPr>
        <w:t>投资增长不足可能减缓经济发展</w:t>
      </w:r>
      <w:r>
        <w:rPr>
          <w:rFonts w:ascii="仿宋_GB2312" w:eastAsia="仿宋_GB2312" w:hAnsi="仿宋" w:hint="eastAsia"/>
          <w:sz w:val="32"/>
          <w:szCs w:val="32"/>
        </w:rPr>
        <w:t>；</w:t>
      </w:r>
      <w:r w:rsidRPr="003F05AA">
        <w:rPr>
          <w:rFonts w:ascii="仿宋_GB2312" w:eastAsia="仿宋_GB2312" w:hAnsi="仿宋" w:hint="eastAsia"/>
          <w:sz w:val="32"/>
          <w:szCs w:val="32"/>
        </w:rPr>
        <w:t>投资增长过快可能引发经济过热。</w:t>
      </w:r>
    </w:p>
    <w:p w:rsidR="003F05AA" w:rsidRPr="007B1D71" w:rsidRDefault="003F05AA" w:rsidP="007B1D71">
      <w:pPr>
        <w:widowControl/>
        <w:shd w:val="clear" w:color="auto" w:fill="FFFFFF"/>
        <w:spacing w:line="580" w:lineRule="exact"/>
        <w:ind w:firstLineChars="200" w:firstLine="640"/>
        <w:rPr>
          <w:rFonts w:ascii="黑体" w:eastAsia="黑体" w:hAnsi="黑体" w:hint="eastAsia"/>
          <w:sz w:val="32"/>
          <w:szCs w:val="32"/>
        </w:rPr>
      </w:pPr>
      <w:r w:rsidRPr="007B1D71">
        <w:rPr>
          <w:rFonts w:ascii="黑体" w:eastAsia="黑体" w:hAnsi="黑体" w:hint="eastAsia"/>
          <w:sz w:val="32"/>
          <w:szCs w:val="32"/>
        </w:rPr>
        <w:t>三、工业增加值</w:t>
      </w:r>
    </w:p>
    <w:p w:rsidR="003F05AA" w:rsidRDefault="003F05AA" w:rsidP="007B1D71">
      <w:pPr>
        <w:widowControl/>
        <w:shd w:val="clear" w:color="auto" w:fill="FFFFFF"/>
        <w:spacing w:line="58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工业增加值是指工业企业在报告期内以货币形式表现的工业生产活动的最终成果；是工业企业全部生产活动的总成果扣除了在生产过程中消耗或转移的物质产品和外购劳务价值后的余额；是工业企业生产过程中新增加的价值。工业增加值是计算工业增长速度的总量指标，也是进行国民经济核算的一项基础指标。</w:t>
      </w:r>
    </w:p>
    <w:p w:rsidR="00A75F9D" w:rsidRDefault="00A75F9D" w:rsidP="007B1D71">
      <w:pPr>
        <w:widowControl/>
        <w:shd w:val="clear" w:color="auto" w:fill="FFFFFF"/>
        <w:spacing w:line="58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目前国家统计局生产情况调查采取规模以上企业全面调查和规模以下企业抽样调查相结合的方式。2021年，随着统计“四大工程”正式实施，全部规模以上工业（现行口径为年主营业务收入在2000万元以上的工业企业）</w:t>
      </w:r>
      <w:r>
        <w:rPr>
          <w:rFonts w:ascii="仿宋_GB2312" w:eastAsia="仿宋_GB2312" w:hAnsi="仿宋" w:hint="eastAsia"/>
          <w:sz w:val="32"/>
          <w:szCs w:val="32"/>
        </w:rPr>
        <w:t>实行联网直报</w:t>
      </w:r>
      <w:r>
        <w:rPr>
          <w:rFonts w:ascii="仿宋_GB2312" w:eastAsia="仿宋_GB2312" w:hAnsi="仿宋" w:hint="eastAsia"/>
          <w:sz w:val="32"/>
          <w:szCs w:val="32"/>
        </w:rPr>
        <w:t>，规模以下企业抽样调查每季度进行一次。</w:t>
      </w:r>
    </w:p>
    <w:p w:rsidR="00A75F9D" w:rsidRDefault="00A75F9D" w:rsidP="007B1D71">
      <w:pPr>
        <w:widowControl/>
        <w:shd w:val="clear" w:color="auto" w:fill="FFFFFF"/>
        <w:spacing w:line="58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工业增加值与工业总产值关系密切，但二者并非成正比关系。工业总产值指工业企业在报告期内生产的以货币形式表现的工业最终产品和提供工业劳务活动的总价值量，包括原材料等转移到产品中的价值量，是工业企业生产的总产出。虽然在企业内部产值不能重复计算，但企业之间产值允许重</w:t>
      </w:r>
      <w:r>
        <w:rPr>
          <w:rFonts w:ascii="仿宋_GB2312" w:eastAsia="仿宋_GB2312" w:hAnsi="仿宋" w:hint="eastAsia"/>
          <w:sz w:val="32"/>
          <w:szCs w:val="32"/>
        </w:rPr>
        <w:lastRenderedPageBreak/>
        <w:t>复计算。而工业增加值是工业生产活动最终成果扣除其在生产过程中消耗或转移的物质产品和外购劳务价值后的余额，是企业新创造的价值。因此，在企业工业总产值一定的情况下，原材料、能源消耗等中间投入少，工业增加值比较高；而如果企业一味追求工业总产值，忽视经济效益，投入成本居高不下，工业增加值则比较低。</w:t>
      </w:r>
    </w:p>
    <w:p w:rsidR="00A75F9D" w:rsidRPr="007B1D71" w:rsidRDefault="00A75F9D" w:rsidP="007B1D71">
      <w:pPr>
        <w:widowControl/>
        <w:shd w:val="clear" w:color="auto" w:fill="FFFFFF"/>
        <w:spacing w:line="580" w:lineRule="exact"/>
        <w:ind w:firstLineChars="200" w:firstLine="640"/>
        <w:rPr>
          <w:rFonts w:ascii="黑体" w:eastAsia="黑体" w:hAnsi="黑体" w:hint="eastAsia"/>
          <w:sz w:val="32"/>
          <w:szCs w:val="32"/>
        </w:rPr>
      </w:pPr>
      <w:r w:rsidRPr="007B1D71">
        <w:rPr>
          <w:rFonts w:ascii="黑体" w:eastAsia="黑体" w:hAnsi="黑体" w:hint="eastAsia"/>
          <w:sz w:val="32"/>
          <w:szCs w:val="32"/>
        </w:rPr>
        <w:t>四、社会消费品零售总额</w:t>
      </w:r>
    </w:p>
    <w:p w:rsidR="00A75F9D" w:rsidRDefault="00AC6CDE" w:rsidP="007B1D71">
      <w:pPr>
        <w:widowControl/>
        <w:shd w:val="clear" w:color="auto" w:fill="FFFFFF"/>
        <w:spacing w:line="580" w:lineRule="exact"/>
        <w:ind w:firstLineChars="200" w:firstLine="640"/>
        <w:rPr>
          <w:rFonts w:ascii="仿宋_GB2312" w:eastAsia="仿宋_GB2312" w:hAnsi="仿宋" w:hint="eastAsia"/>
          <w:sz w:val="32"/>
          <w:szCs w:val="32"/>
        </w:rPr>
      </w:pPr>
      <w:r w:rsidRPr="00AC6CDE">
        <w:rPr>
          <w:rFonts w:ascii="仿宋_GB2312" w:eastAsia="仿宋_GB2312" w:hAnsi="仿宋" w:hint="eastAsia"/>
          <w:sz w:val="32"/>
          <w:szCs w:val="32"/>
        </w:rPr>
        <w:t>社会消费品零售总额是用于反映全社会实物商品的非生产方面消费情况的主要指标，它从商品流通环节</w:t>
      </w:r>
      <w:r>
        <w:rPr>
          <w:rFonts w:ascii="仿宋_GB2312" w:eastAsia="仿宋_GB2312" w:hAnsi="仿宋" w:hint="eastAsia"/>
          <w:sz w:val="32"/>
          <w:szCs w:val="32"/>
        </w:rPr>
        <w:t>入</w:t>
      </w:r>
      <w:r w:rsidRPr="00AC6CDE">
        <w:rPr>
          <w:rFonts w:ascii="仿宋_GB2312" w:eastAsia="仿宋_GB2312" w:hAnsi="仿宋" w:hint="eastAsia"/>
          <w:sz w:val="32"/>
          <w:szCs w:val="32"/>
        </w:rPr>
        <w:t>手，观察城乡居民生活消费和社会集团公共消费的商品变化情况</w:t>
      </w:r>
      <w:r>
        <w:rPr>
          <w:rFonts w:ascii="仿宋_GB2312" w:eastAsia="仿宋_GB2312" w:hAnsi="仿宋" w:hint="eastAsia"/>
          <w:sz w:val="32"/>
          <w:szCs w:val="32"/>
        </w:rPr>
        <w:t>，反映了国内消费品市场的总规模和地域分布情况，也反映了居民和社会集团对实物商品消费需求的总量和变化趋势</w:t>
      </w:r>
      <w:r w:rsidRPr="00AC6CDE">
        <w:rPr>
          <w:rFonts w:ascii="仿宋_GB2312" w:eastAsia="仿宋_GB2312" w:hAnsi="仿宋" w:hint="eastAsia"/>
          <w:sz w:val="32"/>
          <w:szCs w:val="32"/>
        </w:rPr>
        <w:t>。具体来讲，社会消费品零售总额是指企业(单位、个体户)通过交易直接售给个人、社会集团非生产、非经营用的实物商品金额，以及提供餐饮服务所取得的收入金额。其中，个人包括城乡居民和入境人员，社会集团包括机关、社会团体、部队、学校、企事业单位、居委会或村委会等。</w:t>
      </w:r>
    </w:p>
    <w:p w:rsidR="00AC6CDE" w:rsidRDefault="00AC6CDE" w:rsidP="007B1D71">
      <w:pPr>
        <w:widowControl/>
        <w:shd w:val="clear" w:color="auto" w:fill="FFFFFF"/>
        <w:spacing w:line="580" w:lineRule="exact"/>
        <w:ind w:firstLineChars="200" w:firstLine="640"/>
        <w:rPr>
          <w:rFonts w:ascii="仿宋_GB2312" w:eastAsia="仿宋_GB2312" w:hAnsi="仿宋" w:hint="eastAsia"/>
          <w:sz w:val="32"/>
          <w:szCs w:val="32"/>
        </w:rPr>
      </w:pPr>
      <w:r w:rsidRPr="00AC6CDE">
        <w:rPr>
          <w:rFonts w:ascii="仿宋_GB2312" w:eastAsia="仿宋_GB2312" w:hAnsi="仿宋" w:hint="eastAsia"/>
          <w:sz w:val="32"/>
          <w:szCs w:val="32"/>
        </w:rPr>
        <w:t>社会消费品零售总额指标涉及的商品包括:售给个人作为生活消费用的商品和修建房屋用的建筑材料，也包括售给社会集团用作非生产、非经</w:t>
      </w:r>
      <w:bookmarkStart w:id="0" w:name="_GoBack"/>
      <w:bookmarkEnd w:id="0"/>
      <w:r w:rsidRPr="00AC6CDE">
        <w:rPr>
          <w:rFonts w:ascii="仿宋_GB2312" w:eastAsia="仿宋_GB2312" w:hAnsi="仿宋" w:hint="eastAsia"/>
          <w:sz w:val="32"/>
          <w:szCs w:val="32"/>
        </w:rPr>
        <w:t>营的商品等;不包括:企业(单位、个体户)用于生产经营和固定资产投资所使用的原材料、燃料和其他消耗品的价值量，也不包括城市居民用于购买商品房的支出和农民用于购买农业生产资料的支出费用</w:t>
      </w:r>
      <w:r>
        <w:rPr>
          <w:rFonts w:ascii="仿宋_GB2312" w:eastAsia="仿宋_GB2312" w:hAnsi="仿宋" w:hint="eastAsia"/>
          <w:sz w:val="32"/>
          <w:szCs w:val="32"/>
        </w:rPr>
        <w:t>。</w:t>
      </w:r>
    </w:p>
    <w:p w:rsidR="00AC6CDE" w:rsidRDefault="00AC6CDE" w:rsidP="007B1D71">
      <w:pPr>
        <w:widowControl/>
        <w:shd w:val="clear" w:color="auto" w:fill="FFFFFF"/>
        <w:spacing w:line="58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lastRenderedPageBreak/>
        <w:t>从消费形态来看，社会消费品零售总额可划分为商品零售额和餐饮收入两部分。其中商品零售额是指售卖非生产、非经营用实物商品的金额，餐饮收入是指提供餐饮服务所取得的收入金额。</w:t>
      </w:r>
    </w:p>
    <w:p w:rsidR="00AC6CDE" w:rsidRPr="007B1D71" w:rsidRDefault="00AC6CDE" w:rsidP="007B1D71">
      <w:pPr>
        <w:widowControl/>
        <w:shd w:val="clear" w:color="auto" w:fill="FFFFFF"/>
        <w:spacing w:line="580" w:lineRule="exact"/>
        <w:ind w:firstLineChars="200" w:firstLine="640"/>
        <w:rPr>
          <w:rFonts w:ascii="黑体" w:eastAsia="黑体" w:hAnsi="黑体" w:hint="eastAsia"/>
          <w:sz w:val="32"/>
          <w:szCs w:val="32"/>
        </w:rPr>
      </w:pPr>
      <w:r w:rsidRPr="007B1D71">
        <w:rPr>
          <w:rFonts w:ascii="黑体" w:eastAsia="黑体" w:hAnsi="黑体" w:hint="eastAsia"/>
          <w:sz w:val="32"/>
          <w:szCs w:val="32"/>
        </w:rPr>
        <w:t>五、居民消费价格指数</w:t>
      </w:r>
    </w:p>
    <w:p w:rsidR="00AC6CDE" w:rsidRDefault="00B37809" w:rsidP="007B1D71">
      <w:pPr>
        <w:widowControl/>
        <w:shd w:val="clear" w:color="auto" w:fill="FFFFFF"/>
        <w:spacing w:line="580" w:lineRule="exact"/>
        <w:ind w:firstLineChars="200" w:firstLine="640"/>
        <w:rPr>
          <w:rFonts w:ascii="仿宋_GB2312" w:eastAsia="仿宋_GB2312" w:hAnsi="仿宋" w:hint="eastAsia"/>
          <w:sz w:val="32"/>
          <w:szCs w:val="32"/>
        </w:rPr>
      </w:pPr>
      <w:r>
        <w:rPr>
          <w:rFonts w:ascii="仿宋_GB2312" w:eastAsia="仿宋_GB2312" w:hAnsi="仿宋" w:hint="eastAsia"/>
          <w:sz w:val="32"/>
          <w:szCs w:val="32"/>
        </w:rPr>
        <w:t>居民消费价格指数（</w:t>
      </w:r>
      <w:r>
        <w:rPr>
          <w:rFonts w:ascii="仿宋_GB2312" w:eastAsia="仿宋_GB2312" w:hAnsi="仿宋"/>
          <w:sz w:val="32"/>
          <w:szCs w:val="32"/>
        </w:rPr>
        <w:t>Consumer</w:t>
      </w:r>
      <w:r>
        <w:rPr>
          <w:rFonts w:ascii="仿宋_GB2312" w:eastAsia="仿宋_GB2312" w:hAnsi="仿宋" w:hint="eastAsia"/>
          <w:sz w:val="32"/>
          <w:szCs w:val="32"/>
        </w:rPr>
        <w:t xml:space="preserve"> Price Index,简称CPI），是度量消费商品及服务项目价格水平随着时间变动的相对数，反映居民购买的商品及服务项目价格水平的变动趋势和变动程度。其按年度计算的变动率通常被用来反映通货膨胀或紧缩的程度；CPI及其分类指数还是计算国内生产总值以及资产、负债、消费、收入等实际价值的重要参考依据。</w:t>
      </w:r>
    </w:p>
    <w:p w:rsidR="007B1D71" w:rsidRPr="00FC327A" w:rsidRDefault="007B1D71" w:rsidP="007B1D71">
      <w:pPr>
        <w:widowControl/>
        <w:shd w:val="clear" w:color="auto" w:fill="FFFFFF"/>
        <w:spacing w:line="580" w:lineRule="exact"/>
        <w:ind w:firstLineChars="200" w:firstLine="640"/>
        <w:rPr>
          <w:rFonts w:ascii="仿宋_GB2312" w:eastAsia="仿宋_GB2312" w:hAnsi="仿宋"/>
          <w:sz w:val="32"/>
          <w:szCs w:val="32"/>
        </w:rPr>
      </w:pPr>
      <w:r>
        <w:rPr>
          <w:rFonts w:ascii="仿宋_GB2312" w:eastAsia="仿宋_GB2312" w:hAnsi="仿宋" w:hint="eastAsia"/>
          <w:sz w:val="32"/>
          <w:szCs w:val="32"/>
        </w:rPr>
        <w:t>居民消费价格指数的来源：</w:t>
      </w:r>
      <w:r w:rsidRPr="007B1D71">
        <w:rPr>
          <w:rFonts w:ascii="仿宋_GB2312" w:eastAsia="仿宋_GB2312" w:hAnsi="仿宋" w:hint="eastAsia"/>
          <w:sz w:val="32"/>
          <w:szCs w:val="32"/>
        </w:rPr>
        <w:t>首先，国家统计局和地方统计部门分级确定用于计算CPI的商品和服务项目以及调查网点，设置食品、烟酒及用品、衣着、家庭设备用品及服务、医疗保健及个人用品、交通和通信、娱乐教育文化用品及服务、居住八大类262个基本分类，基本涵盖了城乡居民的全部消费内容。其次，按照“定人、定点、定时”的方式，派调查员到调查网点现场采集价格。价格采集频率因商品而异，对于CPI中的粮食、猪牛羊肉、蔬菜等与居民生活密切相关、价格变动相对比较频繁的食品，每5天调查一次价格;对于服装鞋帽、耐用消费品、交通通信工具等大部分工业产品，每月调查2 3次价格;对水、电等政府定价项目，每月调查核实一次价格。最后，根据审核后的原始价格资料，计算单</w:t>
      </w:r>
      <w:r w:rsidRPr="007B1D71">
        <w:rPr>
          <w:rFonts w:ascii="仿宋_GB2312" w:eastAsia="仿宋_GB2312" w:hAnsi="仿宋" w:hint="eastAsia"/>
          <w:sz w:val="32"/>
          <w:szCs w:val="32"/>
        </w:rPr>
        <w:lastRenderedPageBreak/>
        <w:t>个商品或服务项目以及262个基本分类的价格指数</w:t>
      </w:r>
      <w:r>
        <w:rPr>
          <w:rFonts w:ascii="仿宋_GB2312" w:eastAsia="仿宋_GB2312" w:hAnsi="仿宋" w:hint="eastAsia"/>
          <w:sz w:val="32"/>
          <w:szCs w:val="32"/>
        </w:rPr>
        <w:t>，</w:t>
      </w:r>
      <w:r w:rsidRPr="007B1D71">
        <w:rPr>
          <w:rFonts w:ascii="仿宋_GB2312" w:eastAsia="仿宋_GB2312" w:hAnsi="仿宋" w:hint="eastAsia"/>
          <w:sz w:val="32"/>
          <w:szCs w:val="32"/>
        </w:rPr>
        <w:t>然后根据各类别相应的权数，再计算类别价格指数以及</w:t>
      </w:r>
      <w:r w:rsidRPr="007B1D71">
        <w:rPr>
          <w:rFonts w:ascii="仿宋_GB2312" w:eastAsia="仿宋_GB2312" w:hAnsi="仿宋"/>
          <w:sz w:val="32"/>
          <w:szCs w:val="32"/>
        </w:rPr>
        <w:t>CPI</w:t>
      </w:r>
      <w:r>
        <w:rPr>
          <w:rFonts w:ascii="仿宋_GB2312" w:eastAsia="仿宋_GB2312" w:hAnsi="仿宋"/>
          <w:sz w:val="32"/>
          <w:szCs w:val="32"/>
        </w:rPr>
        <w:t>。</w:t>
      </w:r>
    </w:p>
    <w:sectPr w:rsidR="007B1D71" w:rsidRPr="00FC32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4C45" w:rsidRDefault="00054C45" w:rsidP="003724AC">
      <w:r>
        <w:separator/>
      </w:r>
    </w:p>
  </w:endnote>
  <w:endnote w:type="continuationSeparator" w:id="0">
    <w:p w:rsidR="00054C45" w:rsidRDefault="00054C45" w:rsidP="0037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4C45" w:rsidRDefault="00054C45" w:rsidP="003724AC">
      <w:r>
        <w:separator/>
      </w:r>
    </w:p>
  </w:footnote>
  <w:footnote w:type="continuationSeparator" w:id="0">
    <w:p w:rsidR="00054C45" w:rsidRDefault="00054C45" w:rsidP="0037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A1DE591"/>
    <w:multiLevelType w:val="singleLevel"/>
    <w:tmpl w:val="FA1DE591"/>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AE7"/>
    <w:rsid w:val="0005356A"/>
    <w:rsid w:val="00054C45"/>
    <w:rsid w:val="0010299F"/>
    <w:rsid w:val="00267CA1"/>
    <w:rsid w:val="00272D34"/>
    <w:rsid w:val="002B610E"/>
    <w:rsid w:val="002D0245"/>
    <w:rsid w:val="002D0736"/>
    <w:rsid w:val="002D48C1"/>
    <w:rsid w:val="002F4A6A"/>
    <w:rsid w:val="003724AC"/>
    <w:rsid w:val="00375F52"/>
    <w:rsid w:val="003D4C4F"/>
    <w:rsid w:val="003F05AA"/>
    <w:rsid w:val="003F2B39"/>
    <w:rsid w:val="00434E0F"/>
    <w:rsid w:val="00471AE7"/>
    <w:rsid w:val="004A3C5A"/>
    <w:rsid w:val="005647CC"/>
    <w:rsid w:val="005851FD"/>
    <w:rsid w:val="00594A56"/>
    <w:rsid w:val="0066113C"/>
    <w:rsid w:val="007B1D71"/>
    <w:rsid w:val="007C344B"/>
    <w:rsid w:val="00885FF9"/>
    <w:rsid w:val="008A5873"/>
    <w:rsid w:val="009B66DE"/>
    <w:rsid w:val="009C0AFD"/>
    <w:rsid w:val="009D0720"/>
    <w:rsid w:val="00A51AE2"/>
    <w:rsid w:val="00A75F9D"/>
    <w:rsid w:val="00AC6CDE"/>
    <w:rsid w:val="00AE4FEA"/>
    <w:rsid w:val="00AF5985"/>
    <w:rsid w:val="00B26277"/>
    <w:rsid w:val="00B37809"/>
    <w:rsid w:val="00BA0ADA"/>
    <w:rsid w:val="00DA7584"/>
    <w:rsid w:val="00DF5A5F"/>
    <w:rsid w:val="00EB27B1"/>
    <w:rsid w:val="00F25896"/>
    <w:rsid w:val="00FC327A"/>
    <w:rsid w:val="00FD0698"/>
    <w:rsid w:val="00FE41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24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24AC"/>
    <w:rPr>
      <w:sz w:val="18"/>
      <w:szCs w:val="18"/>
    </w:rPr>
  </w:style>
  <w:style w:type="paragraph" w:styleId="a4">
    <w:name w:val="footer"/>
    <w:basedOn w:val="a"/>
    <w:link w:val="Char0"/>
    <w:uiPriority w:val="99"/>
    <w:unhideWhenUsed/>
    <w:rsid w:val="003724AC"/>
    <w:pPr>
      <w:tabs>
        <w:tab w:val="center" w:pos="4153"/>
        <w:tab w:val="right" w:pos="8306"/>
      </w:tabs>
      <w:snapToGrid w:val="0"/>
      <w:jc w:val="left"/>
    </w:pPr>
    <w:rPr>
      <w:sz w:val="18"/>
      <w:szCs w:val="18"/>
    </w:rPr>
  </w:style>
  <w:style w:type="character" w:customStyle="1" w:styleId="Char0">
    <w:name w:val="页脚 Char"/>
    <w:basedOn w:val="a0"/>
    <w:link w:val="a4"/>
    <w:uiPriority w:val="99"/>
    <w:rsid w:val="003724AC"/>
    <w:rPr>
      <w:sz w:val="18"/>
      <w:szCs w:val="18"/>
    </w:rPr>
  </w:style>
  <w:style w:type="paragraph" w:styleId="a5">
    <w:name w:val="Normal (Web)"/>
    <w:basedOn w:val="a"/>
    <w:uiPriority w:val="99"/>
    <w:semiHidden/>
    <w:unhideWhenUsed/>
    <w:rsid w:val="00AF598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F5985"/>
    <w:rPr>
      <w:b/>
      <w:bCs/>
    </w:rPr>
  </w:style>
  <w:style w:type="character" w:styleId="a7">
    <w:name w:val="Hyperlink"/>
    <w:basedOn w:val="a0"/>
    <w:uiPriority w:val="99"/>
    <w:unhideWhenUsed/>
    <w:rsid w:val="009D07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724A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724AC"/>
    <w:rPr>
      <w:sz w:val="18"/>
      <w:szCs w:val="18"/>
    </w:rPr>
  </w:style>
  <w:style w:type="paragraph" w:styleId="a4">
    <w:name w:val="footer"/>
    <w:basedOn w:val="a"/>
    <w:link w:val="Char0"/>
    <w:uiPriority w:val="99"/>
    <w:unhideWhenUsed/>
    <w:rsid w:val="003724AC"/>
    <w:pPr>
      <w:tabs>
        <w:tab w:val="center" w:pos="4153"/>
        <w:tab w:val="right" w:pos="8306"/>
      </w:tabs>
      <w:snapToGrid w:val="0"/>
      <w:jc w:val="left"/>
    </w:pPr>
    <w:rPr>
      <w:sz w:val="18"/>
      <w:szCs w:val="18"/>
    </w:rPr>
  </w:style>
  <w:style w:type="character" w:customStyle="1" w:styleId="Char0">
    <w:name w:val="页脚 Char"/>
    <w:basedOn w:val="a0"/>
    <w:link w:val="a4"/>
    <w:uiPriority w:val="99"/>
    <w:rsid w:val="003724AC"/>
    <w:rPr>
      <w:sz w:val="18"/>
      <w:szCs w:val="18"/>
    </w:rPr>
  </w:style>
  <w:style w:type="paragraph" w:styleId="a5">
    <w:name w:val="Normal (Web)"/>
    <w:basedOn w:val="a"/>
    <w:uiPriority w:val="99"/>
    <w:semiHidden/>
    <w:unhideWhenUsed/>
    <w:rsid w:val="00AF598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F5985"/>
    <w:rPr>
      <w:b/>
      <w:bCs/>
    </w:rPr>
  </w:style>
  <w:style w:type="character" w:styleId="a7">
    <w:name w:val="Hyperlink"/>
    <w:basedOn w:val="a0"/>
    <w:uiPriority w:val="99"/>
    <w:unhideWhenUsed/>
    <w:rsid w:val="009D07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034856">
      <w:bodyDiv w:val="1"/>
      <w:marLeft w:val="0"/>
      <w:marRight w:val="0"/>
      <w:marTop w:val="0"/>
      <w:marBottom w:val="0"/>
      <w:divBdr>
        <w:top w:val="none" w:sz="0" w:space="0" w:color="auto"/>
        <w:left w:val="none" w:sz="0" w:space="0" w:color="auto"/>
        <w:bottom w:val="none" w:sz="0" w:space="0" w:color="auto"/>
        <w:right w:val="none" w:sz="0" w:space="0" w:color="auto"/>
      </w:divBdr>
    </w:div>
    <w:div w:id="638151019">
      <w:bodyDiv w:val="1"/>
      <w:marLeft w:val="0"/>
      <w:marRight w:val="0"/>
      <w:marTop w:val="0"/>
      <w:marBottom w:val="0"/>
      <w:divBdr>
        <w:top w:val="none" w:sz="0" w:space="0" w:color="auto"/>
        <w:left w:val="none" w:sz="0" w:space="0" w:color="auto"/>
        <w:bottom w:val="none" w:sz="0" w:space="0" w:color="auto"/>
        <w:right w:val="none" w:sz="0" w:space="0" w:color="auto"/>
      </w:divBdr>
    </w:div>
    <w:div w:id="823467161">
      <w:bodyDiv w:val="1"/>
      <w:marLeft w:val="0"/>
      <w:marRight w:val="0"/>
      <w:marTop w:val="0"/>
      <w:marBottom w:val="0"/>
      <w:divBdr>
        <w:top w:val="none" w:sz="0" w:space="0" w:color="auto"/>
        <w:left w:val="none" w:sz="0" w:space="0" w:color="auto"/>
        <w:bottom w:val="none" w:sz="0" w:space="0" w:color="auto"/>
        <w:right w:val="none" w:sz="0" w:space="0" w:color="auto"/>
      </w:divBdr>
      <w:divsChild>
        <w:div w:id="1105535445">
          <w:marLeft w:val="0"/>
          <w:marRight w:val="0"/>
          <w:marTop w:val="0"/>
          <w:marBottom w:val="225"/>
          <w:divBdr>
            <w:top w:val="none" w:sz="0" w:space="0" w:color="auto"/>
            <w:left w:val="none" w:sz="0" w:space="0" w:color="auto"/>
            <w:bottom w:val="none" w:sz="0" w:space="0" w:color="auto"/>
            <w:right w:val="none" w:sz="0" w:space="0" w:color="auto"/>
          </w:divBdr>
        </w:div>
        <w:div w:id="1967852903">
          <w:marLeft w:val="0"/>
          <w:marRight w:val="0"/>
          <w:marTop w:val="0"/>
          <w:marBottom w:val="225"/>
          <w:divBdr>
            <w:top w:val="none" w:sz="0" w:space="0" w:color="auto"/>
            <w:left w:val="none" w:sz="0" w:space="0" w:color="auto"/>
            <w:bottom w:val="none" w:sz="0" w:space="0" w:color="auto"/>
            <w:right w:val="none" w:sz="0" w:space="0" w:color="auto"/>
          </w:divBdr>
        </w:div>
      </w:divsChild>
    </w:div>
    <w:div w:id="1171484529">
      <w:bodyDiv w:val="1"/>
      <w:marLeft w:val="0"/>
      <w:marRight w:val="0"/>
      <w:marTop w:val="0"/>
      <w:marBottom w:val="0"/>
      <w:divBdr>
        <w:top w:val="none" w:sz="0" w:space="0" w:color="auto"/>
        <w:left w:val="none" w:sz="0" w:space="0" w:color="auto"/>
        <w:bottom w:val="none" w:sz="0" w:space="0" w:color="auto"/>
        <w:right w:val="none" w:sz="0" w:space="0" w:color="auto"/>
      </w:divBdr>
    </w:div>
    <w:div w:id="1485707045">
      <w:bodyDiv w:val="1"/>
      <w:marLeft w:val="0"/>
      <w:marRight w:val="0"/>
      <w:marTop w:val="0"/>
      <w:marBottom w:val="0"/>
      <w:divBdr>
        <w:top w:val="none" w:sz="0" w:space="0" w:color="auto"/>
        <w:left w:val="none" w:sz="0" w:space="0" w:color="auto"/>
        <w:bottom w:val="none" w:sz="0" w:space="0" w:color="auto"/>
        <w:right w:val="none" w:sz="0" w:space="0" w:color="auto"/>
      </w:divBdr>
    </w:div>
    <w:div w:id="1682775846">
      <w:bodyDiv w:val="1"/>
      <w:marLeft w:val="0"/>
      <w:marRight w:val="0"/>
      <w:marTop w:val="0"/>
      <w:marBottom w:val="0"/>
      <w:divBdr>
        <w:top w:val="none" w:sz="0" w:space="0" w:color="auto"/>
        <w:left w:val="none" w:sz="0" w:space="0" w:color="auto"/>
        <w:bottom w:val="none" w:sz="0" w:space="0" w:color="auto"/>
        <w:right w:val="none" w:sz="0" w:space="0" w:color="auto"/>
      </w:divBdr>
    </w:div>
    <w:div w:id="2028022799">
      <w:bodyDiv w:val="1"/>
      <w:marLeft w:val="0"/>
      <w:marRight w:val="0"/>
      <w:marTop w:val="0"/>
      <w:marBottom w:val="0"/>
      <w:divBdr>
        <w:top w:val="none" w:sz="0" w:space="0" w:color="auto"/>
        <w:left w:val="none" w:sz="0" w:space="0" w:color="auto"/>
        <w:bottom w:val="none" w:sz="0" w:space="0" w:color="auto"/>
        <w:right w:val="none" w:sz="0" w:space="0" w:color="auto"/>
      </w:divBdr>
    </w:div>
    <w:div w:id="2062632500">
      <w:bodyDiv w:val="1"/>
      <w:marLeft w:val="0"/>
      <w:marRight w:val="0"/>
      <w:marTop w:val="0"/>
      <w:marBottom w:val="0"/>
      <w:divBdr>
        <w:top w:val="none" w:sz="0" w:space="0" w:color="auto"/>
        <w:left w:val="none" w:sz="0" w:space="0" w:color="auto"/>
        <w:bottom w:val="none" w:sz="0" w:space="0" w:color="auto"/>
        <w:right w:val="none" w:sz="0" w:space="0" w:color="auto"/>
      </w:divBdr>
    </w:div>
    <w:div w:id="213701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TotalTime>
  <Pages>6</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7</cp:revision>
  <dcterms:created xsi:type="dcterms:W3CDTF">2022-03-21T08:44:00Z</dcterms:created>
  <dcterms:modified xsi:type="dcterms:W3CDTF">2022-04-21T08:51:00Z</dcterms:modified>
</cp:coreProperties>
</file>