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exact"/>
        <w:ind w:firstLine="1280" w:firstLineChars="400"/>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eastAsia="宋体"/>
          <w:lang w:eastAsia="zh-CN"/>
        </w:rPr>
      </w:pPr>
    </w:p>
    <w:p>
      <w:pPr>
        <w:keepNext w:val="0"/>
        <w:keepLines w:val="0"/>
        <w:pageBreakBefore w:val="0"/>
        <w:widowControl w:val="0"/>
        <w:kinsoku/>
        <w:wordWrap/>
        <w:overflowPunct/>
        <w:topLinePunct w:val="0"/>
        <w:autoSpaceDE/>
        <w:autoSpaceDN/>
        <w:bidi w:val="0"/>
        <w:adjustRightInd/>
        <w:snapToGrid/>
        <w:spacing w:line="360" w:lineRule="exact"/>
        <w:ind w:firstLine="7680" w:firstLineChars="24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textAlignment w:val="auto"/>
      </w:pPr>
    </w:p>
    <w:p>
      <w:pPr>
        <w:keepNext w:val="0"/>
        <w:keepLines w:val="0"/>
        <w:pageBreakBefore w:val="0"/>
        <w:widowControl w:val="0"/>
        <w:kinsoku/>
        <w:wordWrap/>
        <w:overflowPunct/>
        <w:topLinePunct w:val="0"/>
        <w:autoSpaceDE/>
        <w:autoSpaceDN/>
        <w:bidi w:val="0"/>
        <w:adjustRightInd/>
        <w:snapToGrid/>
        <w:spacing w:line="360" w:lineRule="exact"/>
        <w:textAlignment w:val="auto"/>
      </w:pPr>
    </w:p>
    <w:p>
      <w:pPr>
        <w:keepNext w:val="0"/>
        <w:keepLines w:val="0"/>
        <w:pageBreakBefore w:val="0"/>
        <w:widowControl w:val="0"/>
        <w:kinsoku/>
        <w:wordWrap/>
        <w:overflowPunct/>
        <w:topLinePunct w:val="0"/>
        <w:autoSpaceDE/>
        <w:autoSpaceDN/>
        <w:bidi w:val="0"/>
        <w:adjustRightInd/>
        <w:snapToGrid/>
        <w:spacing w:line="360" w:lineRule="exact"/>
        <w:textAlignment w:val="auto"/>
      </w:pPr>
    </w:p>
    <w:p>
      <w:pPr>
        <w:keepNext w:val="0"/>
        <w:keepLines w:val="0"/>
        <w:pageBreakBefore w:val="0"/>
        <w:widowControl w:val="0"/>
        <w:kinsoku/>
        <w:wordWrap/>
        <w:overflowPunct/>
        <w:topLinePunct w:val="0"/>
        <w:autoSpaceDE/>
        <w:autoSpaceDN/>
        <w:bidi w:val="0"/>
        <w:adjustRightInd/>
        <w:snapToGrid/>
        <w:spacing w:line="360" w:lineRule="exact"/>
        <w:textAlignment w:val="auto"/>
      </w:pPr>
    </w:p>
    <w:p>
      <w:pPr>
        <w:keepNext w:val="0"/>
        <w:keepLines w:val="0"/>
        <w:pageBreakBefore w:val="0"/>
        <w:widowControl w:val="0"/>
        <w:kinsoku/>
        <w:wordWrap/>
        <w:overflowPunct/>
        <w:topLinePunct w:val="0"/>
        <w:autoSpaceDE/>
        <w:autoSpaceDN/>
        <w:bidi w:val="0"/>
        <w:adjustRightInd/>
        <w:snapToGrid/>
        <w:spacing w:line="360" w:lineRule="exact"/>
        <w:textAlignment w:val="auto"/>
      </w:pP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outlineLvl w:val="9"/>
        <w:rPr>
          <w:rFonts w:hint="eastAsia" w:ascii="仿宋_GB2312" w:hAnsi="仿宋_GB2312" w:eastAsia="仿宋_GB2312" w:cs="仿宋_GB2312"/>
          <w:sz w:val="32"/>
          <w:szCs w:val="32"/>
          <w:lang w:val="en-US" w:eastAsia="zh-CN"/>
        </w:rPr>
      </w:pPr>
    </w:p>
    <w:p>
      <w:pPr>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苌政〔20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号</w:t>
      </w:r>
    </w:p>
    <w:p>
      <w:pPr>
        <w:jc w:val="center"/>
        <w:rPr>
          <w:rFonts w:hint="eastAsia" w:asciiTheme="majorEastAsia" w:hAnsiTheme="majorEastAsia" w:eastAsiaTheme="majorEastAsia" w:cstheme="majorEastAsia"/>
          <w:b/>
          <w:bCs/>
          <w:sz w:val="40"/>
          <w:szCs w:val="40"/>
          <w:lang w:eastAsia="zh-CN"/>
        </w:rPr>
      </w:pPr>
    </w:p>
    <w:p>
      <w:pPr>
        <w:jc w:val="center"/>
        <w:rPr>
          <w:rFonts w:hint="eastAsia" w:asciiTheme="majorEastAsia" w:hAnsiTheme="majorEastAsia" w:eastAsiaTheme="majorEastAsia" w:cstheme="majorEastAsia"/>
          <w:b/>
          <w:bCs/>
          <w:sz w:val="40"/>
          <w:szCs w:val="40"/>
          <w:lang w:eastAsia="zh-CN"/>
        </w:rPr>
      </w:pPr>
    </w:p>
    <w:p>
      <w:pPr>
        <w:keepNext w:val="0"/>
        <w:keepLines w:val="0"/>
        <w:pageBreakBefore w:val="0"/>
        <w:widowControl/>
        <w:kinsoku/>
        <w:wordWrap/>
        <w:overflowPunct/>
        <w:topLinePunct w:val="0"/>
        <w:autoSpaceDE/>
        <w:autoSpaceDN/>
        <w:bidi w:val="0"/>
        <w:adjustRightInd/>
        <w:snapToGrid/>
        <w:spacing w:line="640" w:lineRule="exact"/>
        <w:ind w:left="0" w:leftChars="0" w:right="0" w:firstLine="0" w:firstLineChars="0"/>
        <w:jc w:val="center"/>
        <w:textAlignment w:val="auto"/>
        <w:outlineLvl w:val="9"/>
        <w:rPr>
          <w:rFonts w:hint="eastAsia" w:ascii="方正小标宋简体" w:hAnsi="方正小标宋简体" w:eastAsia="方正小标宋简体" w:cs="方正小标宋简体"/>
          <w:b w:val="0"/>
          <w:bCs w:val="0"/>
          <w:color w:val="000000"/>
          <w:kern w:val="0"/>
          <w:sz w:val="44"/>
          <w:szCs w:val="44"/>
          <w:lang w:val="en-US" w:eastAsia="zh-CN"/>
        </w:rPr>
      </w:pPr>
      <w:r>
        <w:rPr>
          <w:rFonts w:hint="eastAsia" w:ascii="方正小标宋简体" w:hAnsi="方正小标宋简体" w:eastAsia="方正小标宋简体" w:cs="方正小标宋简体"/>
          <w:b w:val="0"/>
          <w:bCs w:val="0"/>
          <w:color w:val="000000"/>
          <w:kern w:val="0"/>
          <w:sz w:val="44"/>
          <w:szCs w:val="44"/>
          <w:lang w:val="en-US" w:eastAsia="zh-CN"/>
        </w:rPr>
        <w:t>关于印发《苌庄镇2024年安全生产“大排查、大起底、大整治”专项行动方案》的</w:t>
      </w:r>
    </w:p>
    <w:p>
      <w:pPr>
        <w:keepNext w:val="0"/>
        <w:keepLines w:val="0"/>
        <w:pageBreakBefore w:val="0"/>
        <w:widowControl/>
        <w:kinsoku/>
        <w:wordWrap/>
        <w:overflowPunct/>
        <w:topLinePunct w:val="0"/>
        <w:autoSpaceDE/>
        <w:autoSpaceDN/>
        <w:bidi w:val="0"/>
        <w:adjustRightInd/>
        <w:snapToGrid/>
        <w:spacing w:line="640" w:lineRule="exact"/>
        <w:ind w:left="0" w:leftChars="0" w:right="0" w:firstLine="0" w:firstLineChars="0"/>
        <w:jc w:val="center"/>
        <w:textAlignment w:val="auto"/>
        <w:outlineLvl w:val="9"/>
        <w:rPr>
          <w:rFonts w:hint="eastAsia" w:ascii="方正小标宋简体" w:hAnsi="方正小标宋简体" w:eastAsia="方正小标宋简体" w:cs="方正小标宋简体"/>
          <w:b w:val="0"/>
          <w:bCs w:val="0"/>
          <w:color w:val="000000"/>
          <w:kern w:val="0"/>
          <w:sz w:val="44"/>
          <w:szCs w:val="44"/>
          <w:lang w:val="en-US" w:eastAsia="zh-CN"/>
        </w:rPr>
      </w:pPr>
      <w:r>
        <w:rPr>
          <w:rFonts w:hint="eastAsia" w:ascii="方正小标宋简体" w:hAnsi="方正小标宋简体" w:eastAsia="方正小标宋简体" w:cs="方正小标宋简体"/>
          <w:b w:val="0"/>
          <w:bCs w:val="0"/>
          <w:color w:val="000000"/>
          <w:kern w:val="0"/>
          <w:sz w:val="44"/>
          <w:szCs w:val="44"/>
          <w:lang w:val="en-US" w:eastAsia="zh-CN"/>
        </w:rPr>
        <w:t>通  知</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bCs/>
          <w:sz w:val="44"/>
          <w:szCs w:val="44"/>
          <w:lang w:val="en-US" w:eastAsia="zh-CN"/>
        </w:rPr>
      </w:pPr>
    </w:p>
    <w:p>
      <w:pPr>
        <w:keepNext w:val="0"/>
        <w:keepLines w:val="0"/>
        <w:pageBreakBefore w:val="0"/>
        <w:widowControl/>
        <w:kinsoku/>
        <w:wordWrap/>
        <w:overflowPunct/>
        <w:topLinePunct w:val="0"/>
        <w:autoSpaceDE/>
        <w:autoSpaceDN/>
        <w:bidi w:val="0"/>
        <w:adjustRightInd/>
        <w:snapToGrid/>
        <w:spacing w:line="596" w:lineRule="exact"/>
        <w:ind w:left="0" w:leftChars="0" w:right="0" w:firstLine="0" w:firstLineChars="0"/>
        <w:jc w:val="both"/>
        <w:textAlignment w:val="auto"/>
        <w:outlineLvl w:val="9"/>
        <w:rPr>
          <w:rFonts w:hint="eastAsia" w:ascii="楷体_GB2312" w:hAnsi="楷体_GB2312" w:eastAsia="楷体_GB2312" w:cs="楷体_GB2312"/>
          <w:b w:val="0"/>
          <w:bCs w:val="0"/>
          <w:color w:val="000000"/>
          <w:spacing w:val="6"/>
          <w:kern w:val="0"/>
          <w:sz w:val="32"/>
          <w:szCs w:val="32"/>
          <w:lang w:val="en-US" w:eastAsia="zh-CN"/>
        </w:rPr>
      </w:pPr>
      <w:r>
        <w:rPr>
          <w:rFonts w:hint="eastAsia" w:ascii="楷体_GB2312" w:hAnsi="楷体_GB2312" w:eastAsia="楷体_GB2312" w:cs="楷体_GB2312"/>
          <w:b w:val="0"/>
          <w:bCs w:val="0"/>
          <w:color w:val="000000"/>
          <w:spacing w:val="6"/>
          <w:kern w:val="0"/>
          <w:sz w:val="32"/>
          <w:szCs w:val="32"/>
          <w:lang w:val="en-US" w:eastAsia="zh-CN"/>
        </w:rPr>
        <w:t>各行政村、镇直各部门：</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楷体_GB2312" w:hAnsi="楷体_GB2312" w:eastAsia="楷体_GB2312" w:cs="楷体_GB2312"/>
          <w:b w:val="0"/>
          <w:bCs w:val="0"/>
          <w:color w:val="000000"/>
          <w:spacing w:val="6"/>
          <w:kern w:val="0"/>
          <w:sz w:val="32"/>
          <w:szCs w:val="32"/>
          <w:lang w:val="en-US" w:eastAsia="zh-CN"/>
        </w:rPr>
      </w:pPr>
      <w:r>
        <w:rPr>
          <w:rFonts w:hint="eastAsia" w:ascii="楷体_GB2312" w:hAnsi="楷体_GB2312" w:eastAsia="楷体_GB2312" w:cs="楷体_GB2312"/>
          <w:b w:val="0"/>
          <w:bCs w:val="0"/>
          <w:color w:val="000000"/>
          <w:spacing w:val="6"/>
          <w:kern w:val="0"/>
          <w:sz w:val="32"/>
          <w:szCs w:val="32"/>
          <w:lang w:val="en-US" w:eastAsia="zh-CN"/>
        </w:rPr>
        <w:t>现将《苌庄镇2024年安全生产</w:t>
      </w:r>
      <w:r>
        <w:rPr>
          <w:rFonts w:hint="eastAsia" w:ascii="楷体_GB2312" w:hAnsi="楷体_GB2312" w:eastAsia="楷体_GB2312" w:cs="楷体_GB2312"/>
          <w:b w:val="0"/>
          <w:bCs w:val="0"/>
          <w:spacing w:val="6"/>
          <w:sz w:val="32"/>
          <w:szCs w:val="32"/>
          <w:lang w:eastAsia="zh-CN"/>
        </w:rPr>
        <w:t>“大排查、大起底、大整治”专项行动方案</w:t>
      </w:r>
      <w:r>
        <w:rPr>
          <w:rFonts w:hint="eastAsia" w:ascii="楷体_GB2312" w:hAnsi="楷体_GB2312" w:eastAsia="楷体_GB2312" w:cs="楷体_GB2312"/>
          <w:b w:val="0"/>
          <w:bCs w:val="0"/>
          <w:color w:val="000000"/>
          <w:spacing w:val="6"/>
          <w:kern w:val="0"/>
          <w:sz w:val="32"/>
          <w:szCs w:val="32"/>
          <w:lang w:val="en-US" w:eastAsia="zh-CN"/>
        </w:rPr>
        <w:t>》印发给你们，请认真抓好贯彻落实。</w:t>
      </w:r>
    </w:p>
    <w:p>
      <w:pPr>
        <w:keepNext w:val="0"/>
        <w:keepLines w:val="0"/>
        <w:pageBreakBefore w:val="0"/>
        <w:widowControl w:val="0"/>
        <w:tabs>
          <w:tab w:val="left" w:pos="2147"/>
        </w:tabs>
        <w:kinsoku/>
        <w:wordWrap w:val="0"/>
        <w:overflowPunct/>
        <w:topLinePunct w:val="0"/>
        <w:autoSpaceDE/>
        <w:autoSpaceDN/>
        <w:bidi w:val="0"/>
        <w:adjustRightInd/>
        <w:snapToGrid/>
        <w:spacing w:line="596" w:lineRule="exact"/>
        <w:ind w:right="0"/>
        <w:jc w:val="both"/>
        <w:textAlignment w:val="auto"/>
        <w:outlineLvl w:val="9"/>
        <w:rPr>
          <w:rFonts w:hint="eastAsia" w:ascii="楷体_GB2312" w:hAnsi="楷体_GB2312" w:eastAsia="楷体_GB2312" w:cs="楷体_GB2312"/>
          <w:spacing w:val="6"/>
          <w:sz w:val="32"/>
          <w:szCs w:val="32"/>
          <w:lang w:val="en-US" w:eastAsia="zh-CN"/>
        </w:rPr>
      </w:pPr>
    </w:p>
    <w:p>
      <w:pPr>
        <w:keepNext w:val="0"/>
        <w:keepLines w:val="0"/>
        <w:pageBreakBefore w:val="0"/>
        <w:widowControl w:val="0"/>
        <w:tabs>
          <w:tab w:val="left" w:pos="2147"/>
        </w:tabs>
        <w:kinsoku/>
        <w:wordWrap w:val="0"/>
        <w:overflowPunct/>
        <w:topLinePunct w:val="0"/>
        <w:autoSpaceDE/>
        <w:autoSpaceDN/>
        <w:bidi w:val="0"/>
        <w:adjustRightInd/>
        <w:snapToGrid/>
        <w:spacing w:line="596" w:lineRule="exact"/>
        <w:ind w:right="0"/>
        <w:jc w:val="both"/>
        <w:textAlignment w:val="auto"/>
        <w:outlineLvl w:val="9"/>
        <w:rPr>
          <w:rFonts w:hint="eastAsia" w:ascii="楷体_GB2312" w:hAnsi="楷体_GB2312" w:eastAsia="楷体_GB2312" w:cs="楷体_GB2312"/>
          <w:spacing w:val="6"/>
          <w:sz w:val="32"/>
          <w:szCs w:val="32"/>
          <w:lang w:val="en-US" w:eastAsia="zh-CN"/>
        </w:rPr>
      </w:pPr>
    </w:p>
    <w:p>
      <w:pPr>
        <w:keepNext w:val="0"/>
        <w:keepLines w:val="0"/>
        <w:pageBreakBefore w:val="0"/>
        <w:widowControl w:val="0"/>
        <w:tabs>
          <w:tab w:val="left" w:pos="2147"/>
        </w:tabs>
        <w:kinsoku/>
        <w:wordWrap w:val="0"/>
        <w:overflowPunct/>
        <w:topLinePunct w:val="0"/>
        <w:autoSpaceDE/>
        <w:autoSpaceDN/>
        <w:bidi w:val="0"/>
        <w:adjustRightInd/>
        <w:snapToGrid/>
        <w:spacing w:line="596" w:lineRule="exact"/>
        <w:ind w:right="0"/>
        <w:jc w:val="right"/>
        <w:textAlignment w:val="auto"/>
        <w:outlineLvl w:val="9"/>
        <w:rPr>
          <w:rFonts w:hint="eastAsia" w:ascii="楷体_GB2312" w:hAnsi="楷体_GB2312" w:eastAsia="楷体_GB2312" w:cs="楷体_GB2312"/>
          <w:spacing w:val="6"/>
          <w:sz w:val="32"/>
          <w:szCs w:val="32"/>
          <w:lang w:val="en-US" w:eastAsia="zh-CN"/>
        </w:rPr>
      </w:pPr>
      <w:r>
        <w:rPr>
          <w:rFonts w:hint="eastAsia" w:ascii="楷体_GB2312" w:hAnsi="楷体_GB2312" w:eastAsia="楷体_GB2312" w:cs="楷体_GB2312"/>
          <w:spacing w:val="6"/>
          <w:sz w:val="32"/>
          <w:szCs w:val="32"/>
          <w:lang w:val="en-US" w:eastAsia="zh-CN"/>
        </w:rPr>
        <w:t xml:space="preserve">苌庄镇人民政府      </w:t>
      </w:r>
    </w:p>
    <w:p>
      <w:pPr>
        <w:keepNext w:val="0"/>
        <w:keepLines w:val="0"/>
        <w:pageBreakBefore w:val="0"/>
        <w:widowControl w:val="0"/>
        <w:tabs>
          <w:tab w:val="left" w:pos="850"/>
        </w:tabs>
        <w:kinsoku/>
        <w:wordWrap w:val="0"/>
        <w:overflowPunct/>
        <w:topLinePunct w:val="0"/>
        <w:autoSpaceDE/>
        <w:autoSpaceDN/>
        <w:bidi w:val="0"/>
        <w:adjustRightInd/>
        <w:snapToGrid/>
        <w:spacing w:line="596" w:lineRule="exact"/>
        <w:ind w:left="0" w:leftChars="0" w:right="0" w:firstLine="664" w:firstLineChars="200"/>
        <w:jc w:val="right"/>
        <w:textAlignment w:val="auto"/>
        <w:outlineLvl w:val="9"/>
        <w:rPr>
          <w:rFonts w:hint="eastAsia" w:ascii="楷体_GB2312" w:hAnsi="楷体_GB2312" w:eastAsia="楷体_GB2312" w:cs="楷体_GB2312"/>
          <w:spacing w:val="6"/>
          <w:sz w:val="32"/>
          <w:szCs w:val="32"/>
          <w:lang w:val="en-US" w:eastAsia="zh-CN"/>
        </w:rPr>
      </w:pPr>
      <w:r>
        <w:rPr>
          <w:rFonts w:hint="eastAsia" w:ascii="楷体_GB2312" w:hAnsi="楷体_GB2312" w:eastAsia="楷体_GB2312" w:cs="楷体_GB2312"/>
          <w:spacing w:val="6"/>
          <w:sz w:val="32"/>
          <w:szCs w:val="32"/>
          <w:lang w:val="en-US" w:eastAsia="zh-CN"/>
        </w:rPr>
        <w:t xml:space="preserve">2024年3月6日    </w:t>
      </w:r>
    </w:p>
    <w:p>
      <w:pPr>
        <w:keepNext w:val="0"/>
        <w:keepLines w:val="0"/>
        <w:pageBreakBefore w:val="0"/>
        <w:kinsoku/>
        <w:wordWrap/>
        <w:overflowPunct/>
        <w:topLinePunct w:val="0"/>
        <w:autoSpaceDE/>
        <w:autoSpaceDN/>
        <w:bidi w:val="0"/>
        <w:adjustRightInd/>
        <w:snapToGrid/>
        <w:spacing w:line="596" w:lineRule="exact"/>
        <w:ind w:right="0"/>
        <w:jc w:val="both"/>
        <w:textAlignment w:val="auto"/>
        <w:outlineLvl w:val="9"/>
        <w:rPr>
          <w:rFonts w:hint="eastAsia" w:ascii="仿宋_GB2312" w:hAnsi="仿宋_GB2312" w:eastAsia="仿宋_GB2312" w:cs="仿宋_GB2312"/>
          <w:b w:val="0"/>
          <w:bCs w:val="0"/>
          <w:color w:val="000000"/>
          <w:spacing w:val="6"/>
          <w:kern w:val="0"/>
          <w:sz w:val="32"/>
          <w:szCs w:val="32"/>
          <w:lang w:val="en-US" w:eastAsia="zh-CN"/>
        </w:rPr>
      </w:pPr>
    </w:p>
    <w:p>
      <w:pPr>
        <w:keepNext w:val="0"/>
        <w:keepLines w:val="0"/>
        <w:pageBreakBefore w:val="0"/>
        <w:kinsoku/>
        <w:wordWrap/>
        <w:overflowPunct/>
        <w:topLinePunct w:val="0"/>
        <w:autoSpaceDE/>
        <w:autoSpaceDN/>
        <w:bidi w:val="0"/>
        <w:adjustRightInd/>
        <w:snapToGrid/>
        <w:spacing w:line="596" w:lineRule="exact"/>
        <w:ind w:left="0" w:leftChars="0" w:right="0" w:firstLine="624" w:firstLineChars="200"/>
        <w:jc w:val="both"/>
        <w:textAlignment w:val="auto"/>
        <w:outlineLvl w:val="9"/>
        <w:rPr>
          <w:rFonts w:hint="eastAsia" w:ascii="楷体_GB2312" w:hAnsi="楷体_GB2312" w:eastAsia="楷体_GB2312" w:cs="楷体_GB2312"/>
          <w:color w:val="000000"/>
          <w:spacing w:val="6"/>
          <w:kern w:val="0"/>
          <w:sz w:val="30"/>
          <w:szCs w:val="30"/>
          <w:lang w:val="en-US" w:eastAsia="zh-CN"/>
        </w:rPr>
      </w:pPr>
    </w:p>
    <w:p>
      <w:pPr>
        <w:keepNext w:val="0"/>
        <w:keepLines w:val="0"/>
        <w:pageBreakBefore w:val="0"/>
        <w:kinsoku/>
        <w:wordWrap/>
        <w:overflowPunct/>
        <w:topLinePunct w:val="0"/>
        <w:autoSpaceDE/>
        <w:autoSpaceDN/>
        <w:bidi w:val="0"/>
        <w:adjustRightInd/>
        <w:snapToGrid/>
        <w:spacing w:line="596" w:lineRule="exact"/>
        <w:ind w:left="0" w:leftChars="0" w:right="0" w:firstLine="0" w:firstLineChars="0"/>
        <w:jc w:val="center"/>
        <w:textAlignment w:val="auto"/>
        <w:outlineLvl w:val="9"/>
        <w:rPr>
          <w:rFonts w:hint="eastAsia" w:ascii="方正小标宋简体" w:hAnsi="方正小标宋简体" w:eastAsia="方正小标宋简体" w:cs="方正小标宋简体"/>
          <w:b w:val="0"/>
          <w:bCs w:val="0"/>
          <w:color w:val="000000"/>
          <w:spacing w:val="6"/>
          <w:kern w:val="0"/>
          <w:sz w:val="44"/>
          <w:szCs w:val="44"/>
          <w:lang w:val="en-US" w:eastAsia="zh-CN"/>
        </w:rPr>
      </w:pPr>
      <w:r>
        <w:rPr>
          <w:rFonts w:hint="eastAsia" w:ascii="方正小标宋简体" w:hAnsi="方正小标宋简体" w:eastAsia="方正小标宋简体" w:cs="方正小标宋简体"/>
          <w:b w:val="0"/>
          <w:bCs w:val="0"/>
          <w:color w:val="000000"/>
          <w:spacing w:val="6"/>
          <w:kern w:val="0"/>
          <w:sz w:val="44"/>
          <w:szCs w:val="44"/>
          <w:lang w:val="en-US" w:eastAsia="zh-CN"/>
        </w:rPr>
        <w:t>苌庄镇2024年安全生产</w:t>
      </w:r>
    </w:p>
    <w:p>
      <w:pPr>
        <w:keepNext w:val="0"/>
        <w:keepLines w:val="0"/>
        <w:pageBreakBefore w:val="0"/>
        <w:kinsoku/>
        <w:wordWrap/>
        <w:overflowPunct/>
        <w:topLinePunct w:val="0"/>
        <w:autoSpaceDE/>
        <w:autoSpaceDN/>
        <w:bidi w:val="0"/>
        <w:adjustRightInd/>
        <w:snapToGrid/>
        <w:spacing w:line="596" w:lineRule="exact"/>
        <w:ind w:left="0" w:leftChars="0" w:right="0" w:firstLine="0" w:firstLineChars="0"/>
        <w:jc w:val="center"/>
        <w:textAlignment w:val="auto"/>
        <w:outlineLvl w:val="9"/>
        <w:rPr>
          <w:rFonts w:hint="eastAsia" w:ascii="方正小标宋简体" w:hAnsi="方正小标宋简体" w:eastAsia="方正小标宋简体" w:cs="方正小标宋简体"/>
          <w:b w:val="0"/>
          <w:bCs w:val="0"/>
          <w:color w:val="000000"/>
          <w:spacing w:val="6"/>
          <w:kern w:val="0"/>
          <w:sz w:val="44"/>
          <w:szCs w:val="44"/>
          <w:lang w:val="en-US" w:eastAsia="zh-CN"/>
        </w:rPr>
      </w:pPr>
      <w:r>
        <w:rPr>
          <w:rFonts w:hint="eastAsia" w:ascii="方正小标宋简体" w:hAnsi="方正小标宋简体" w:eastAsia="方正小标宋简体" w:cs="方正小标宋简体"/>
          <w:b w:val="0"/>
          <w:bCs w:val="0"/>
          <w:color w:val="000000"/>
          <w:spacing w:val="6"/>
          <w:kern w:val="0"/>
          <w:sz w:val="44"/>
          <w:szCs w:val="44"/>
          <w:lang w:val="en-US" w:eastAsia="zh-CN"/>
        </w:rPr>
        <w:t>“大排查、大起底、大整治”专项行动方案</w:t>
      </w:r>
    </w:p>
    <w:p>
      <w:pPr>
        <w:pStyle w:val="2"/>
        <w:keepNext w:val="0"/>
        <w:keepLines w:val="0"/>
        <w:pageBreakBefore w:val="0"/>
        <w:kinsoku/>
        <w:wordWrap/>
        <w:overflowPunct/>
        <w:topLinePunct w:val="0"/>
        <w:autoSpaceDE/>
        <w:autoSpaceDN/>
        <w:bidi w:val="0"/>
        <w:adjustRightInd/>
        <w:snapToGrid/>
        <w:spacing w:line="596" w:lineRule="exact"/>
        <w:ind w:left="0" w:leftChars="0" w:right="0" w:firstLine="624" w:firstLineChars="200"/>
        <w:jc w:val="both"/>
        <w:textAlignment w:val="auto"/>
        <w:outlineLvl w:val="9"/>
        <w:rPr>
          <w:rFonts w:hint="eastAsia"/>
          <w:spacing w:val="6"/>
          <w:sz w:val="30"/>
          <w:szCs w:val="30"/>
          <w:lang w:eastAsia="zh-CN"/>
        </w:rPr>
      </w:pP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b w:val="0"/>
          <w:bCs w:val="0"/>
          <w:color w:val="000000"/>
          <w:spacing w:val="6"/>
          <w:kern w:val="0"/>
          <w:sz w:val="32"/>
          <w:szCs w:val="32"/>
          <w:lang w:val="en-US" w:eastAsia="zh-CN"/>
        </w:rPr>
      </w:pPr>
      <w:r>
        <w:rPr>
          <w:rFonts w:hint="eastAsia" w:ascii="仿宋_GB2312" w:hAnsi="仿宋_GB2312" w:eastAsia="仿宋_GB2312" w:cs="仿宋_GB2312"/>
          <w:b w:val="0"/>
          <w:bCs w:val="0"/>
          <w:color w:val="000000"/>
          <w:spacing w:val="6"/>
          <w:kern w:val="0"/>
          <w:sz w:val="32"/>
          <w:szCs w:val="32"/>
          <w:lang w:val="en-US" w:eastAsia="zh-CN"/>
        </w:rPr>
        <w:t>为认真贯彻习近平总书记关于安全生产重要指示，落实党中央、国务院决策部署、省委、省政府和许昌市委、市政府以及我市市委、市政府工作要求，深刻吸取事故教训，举一反三压实责任，坚决防范遏制生产安全事故，根据我市安全生产治本攻坚三年行动方案要求和安排，决定自即日起在全镇重点行业领域开展安全生产“大排查、大起底、大整治”专项行动，现将有关事项通知如下。</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黑体" w:hAnsi="黑体" w:eastAsia="黑体" w:cs="黑体"/>
          <w:spacing w:val="6"/>
          <w:sz w:val="32"/>
          <w:szCs w:val="32"/>
          <w:lang w:eastAsia="zh-CN"/>
        </w:rPr>
      </w:pPr>
      <w:r>
        <w:rPr>
          <w:rFonts w:hint="eastAsia" w:ascii="黑体" w:hAnsi="黑体" w:eastAsia="黑体" w:cs="黑体"/>
          <w:spacing w:val="6"/>
          <w:sz w:val="32"/>
          <w:szCs w:val="32"/>
          <w:lang w:eastAsia="zh-CN"/>
        </w:rPr>
        <w:t>一、总体要求</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b w:val="0"/>
          <w:bCs w:val="0"/>
          <w:color w:val="000000"/>
          <w:spacing w:val="6"/>
          <w:kern w:val="0"/>
          <w:sz w:val="32"/>
          <w:szCs w:val="32"/>
          <w:lang w:val="en-US" w:eastAsia="zh-CN"/>
        </w:rPr>
      </w:pPr>
      <w:r>
        <w:rPr>
          <w:rFonts w:hint="eastAsia" w:ascii="仿宋_GB2312" w:hAnsi="仿宋_GB2312" w:eastAsia="仿宋_GB2312" w:cs="仿宋_GB2312"/>
          <w:b w:val="0"/>
          <w:bCs w:val="0"/>
          <w:color w:val="000000"/>
          <w:spacing w:val="6"/>
          <w:kern w:val="0"/>
          <w:sz w:val="32"/>
          <w:szCs w:val="32"/>
          <w:lang w:val="en-US" w:eastAsia="zh-CN"/>
        </w:rPr>
        <w:t>以习近平新时代中国特色社会主义思想为指导，深入学习习近平总书记关于安全生产重要指示精神，认真贯彻党中央、国务院、省委、省政府和许昌市委、市政府以及我市市委、市政府安全生产工作决策部署，坚持人民至上、生命至上，统筹发展和安全，发展决不能以牺牲安全为代价，深刻汲取近期发生的典型事故教训，坚决克服麻痹思想、厌战情绪和侥幸心理，进一步强化安全红线意识和底线思维，压实压紧安全生产党政领导责任、部门监管责任和企业主体责任，有效管控各类风险，全面整改事故隐患,严厉打击违法违规生产经营行为，坚决防范遏制生产安全事故，确保人民生命财产安全。</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黑体" w:hAnsi="黑体" w:eastAsia="黑体" w:cs="黑体"/>
          <w:spacing w:val="6"/>
          <w:sz w:val="32"/>
          <w:szCs w:val="32"/>
          <w:lang w:eastAsia="zh-CN"/>
        </w:rPr>
      </w:pPr>
      <w:r>
        <w:rPr>
          <w:rFonts w:hint="eastAsia" w:ascii="黑体" w:hAnsi="黑体" w:eastAsia="黑体" w:cs="黑体"/>
          <w:spacing w:val="6"/>
          <w:sz w:val="32"/>
          <w:szCs w:val="32"/>
          <w:lang w:eastAsia="zh-CN"/>
        </w:rPr>
        <w:t>二、工作目标</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b w:val="0"/>
          <w:bCs w:val="0"/>
          <w:color w:val="000000"/>
          <w:spacing w:val="6"/>
          <w:kern w:val="0"/>
          <w:sz w:val="32"/>
          <w:szCs w:val="32"/>
          <w:highlight w:val="none"/>
          <w:lang w:val="en-US" w:eastAsia="zh-CN"/>
        </w:rPr>
      </w:pPr>
      <w:r>
        <w:rPr>
          <w:rFonts w:hint="eastAsia" w:ascii="仿宋_GB2312" w:hAnsi="仿宋_GB2312" w:eastAsia="仿宋_GB2312" w:cs="仿宋_GB2312"/>
          <w:b w:val="0"/>
          <w:bCs w:val="0"/>
          <w:color w:val="000000"/>
          <w:spacing w:val="6"/>
          <w:kern w:val="0"/>
          <w:sz w:val="32"/>
          <w:szCs w:val="32"/>
          <w:highlight w:val="none"/>
          <w:lang w:val="en-US" w:eastAsia="zh-CN"/>
        </w:rPr>
        <w:t>通过重点行业领域安全生产“大排查、大起底、大整治”专项行动，进一步压紧压实安全生产责任，推动解决安全生产工作中教训吸取不深刻、重大事故隐患排查整治不深入、企业安全生产主体责任不落实、打击非法违法行为不到位等突出问题，全面排险除患，筑牢安全防线，确保全镇安全生产形势持续稳定好转。</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黑体" w:hAnsi="黑体" w:eastAsia="黑体" w:cs="黑体"/>
          <w:spacing w:val="6"/>
          <w:sz w:val="32"/>
          <w:szCs w:val="32"/>
          <w:highlight w:val="none"/>
          <w:lang w:eastAsia="zh-CN"/>
        </w:rPr>
      </w:pPr>
      <w:r>
        <w:rPr>
          <w:rFonts w:hint="eastAsia" w:ascii="黑体" w:hAnsi="黑体" w:eastAsia="黑体" w:cs="黑体"/>
          <w:spacing w:val="6"/>
          <w:sz w:val="32"/>
          <w:szCs w:val="32"/>
          <w:highlight w:val="none"/>
          <w:lang w:eastAsia="zh-CN"/>
        </w:rPr>
        <w:t>三、主要任务</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spacing w:val="6"/>
          <w:sz w:val="32"/>
          <w:szCs w:val="32"/>
          <w:highlight w:val="none"/>
          <w:lang w:eastAsia="zh-CN"/>
        </w:rPr>
      </w:pPr>
      <w:r>
        <w:rPr>
          <w:rFonts w:hint="eastAsia" w:ascii="楷体_GB2312" w:hAnsi="楷体_GB2312" w:eastAsia="楷体_GB2312" w:cs="楷体_GB2312"/>
          <w:spacing w:val="6"/>
          <w:sz w:val="32"/>
          <w:szCs w:val="32"/>
          <w:highlight w:val="none"/>
          <w:lang w:eastAsia="zh-CN"/>
        </w:rPr>
        <w:t>（一）校园安全方面:</w:t>
      </w:r>
      <w:r>
        <w:rPr>
          <w:rFonts w:hint="eastAsia" w:ascii="楷体_GB2312" w:hAnsi="楷体_GB2312" w:eastAsia="楷体_GB2312" w:cs="楷体_GB2312"/>
          <w:spacing w:val="6"/>
          <w:sz w:val="32"/>
          <w:szCs w:val="32"/>
          <w:highlight w:val="none"/>
          <w:lang w:val="en-US" w:eastAsia="zh-CN"/>
        </w:rPr>
        <w:t xml:space="preserve"> </w:t>
      </w:r>
      <w:r>
        <w:rPr>
          <w:rFonts w:hint="eastAsia" w:ascii="仿宋_GB2312" w:hAnsi="仿宋_GB2312" w:eastAsia="仿宋_GB2312" w:cs="仿宋_GB2312"/>
          <w:spacing w:val="6"/>
          <w:sz w:val="32"/>
          <w:szCs w:val="32"/>
          <w:highlight w:val="none"/>
          <w:lang w:eastAsia="zh-CN"/>
        </w:rPr>
        <w:t>全面排查辖区内各类学校各类风险隐患。聚焦校园消防、房屋建筑及施工、饮食、住宿等重点领域，紧盯宿舍、食堂、教室、图书室、体育场等人员密集场所，严格排险除患，确保教育系统安全。（牵头部门:</w:t>
      </w:r>
      <w:r>
        <w:rPr>
          <w:rFonts w:hint="eastAsia" w:ascii="仿宋_GB2312" w:hAnsi="仿宋_GB2312" w:eastAsia="仿宋_GB2312" w:cs="仿宋_GB2312"/>
          <w:spacing w:val="6"/>
          <w:sz w:val="32"/>
          <w:szCs w:val="32"/>
          <w:highlight w:val="none"/>
          <w:lang w:val="en-US" w:eastAsia="zh-CN"/>
        </w:rPr>
        <w:t xml:space="preserve"> </w:t>
      </w:r>
      <w:r>
        <w:rPr>
          <w:rFonts w:hint="eastAsia" w:ascii="仿宋_GB2312" w:hAnsi="仿宋_GB2312" w:eastAsia="仿宋_GB2312" w:cs="仿宋_GB2312"/>
          <w:spacing w:val="6"/>
          <w:sz w:val="32"/>
          <w:szCs w:val="32"/>
          <w:highlight w:val="none"/>
          <w:lang w:eastAsia="zh-CN"/>
        </w:rPr>
        <w:t>教育党总支）</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spacing w:val="6"/>
          <w:sz w:val="32"/>
          <w:szCs w:val="32"/>
          <w:highlight w:val="none"/>
          <w:lang w:eastAsia="zh-CN"/>
        </w:rPr>
      </w:pPr>
      <w:r>
        <w:rPr>
          <w:rFonts w:hint="eastAsia" w:ascii="楷体_GB2312" w:hAnsi="楷体_GB2312" w:eastAsia="楷体_GB2312" w:cs="楷体_GB2312"/>
          <w:spacing w:val="6"/>
          <w:sz w:val="32"/>
          <w:szCs w:val="32"/>
          <w:highlight w:val="none"/>
          <w:lang w:eastAsia="zh-CN"/>
        </w:rPr>
        <w:t>（二）矿山安全方面:</w:t>
      </w:r>
      <w:r>
        <w:rPr>
          <w:rFonts w:hint="eastAsia" w:ascii="楷体_GB2312" w:hAnsi="楷体_GB2312" w:eastAsia="楷体_GB2312" w:cs="楷体_GB2312"/>
          <w:spacing w:val="6"/>
          <w:sz w:val="32"/>
          <w:szCs w:val="32"/>
          <w:highlight w:val="none"/>
          <w:lang w:val="en-US" w:eastAsia="zh-CN"/>
        </w:rPr>
        <w:t xml:space="preserve"> </w:t>
      </w:r>
      <w:r>
        <w:rPr>
          <w:rFonts w:hint="eastAsia" w:ascii="仿宋_GB2312" w:hAnsi="仿宋_GB2312" w:eastAsia="仿宋_GB2312" w:cs="仿宋_GB2312"/>
          <w:color w:val="auto"/>
          <w:spacing w:val="6"/>
          <w:sz w:val="32"/>
          <w:szCs w:val="32"/>
          <w:highlight w:val="none"/>
          <w:lang w:eastAsia="zh-CN"/>
        </w:rPr>
        <w:t>全面排查废弃煤矿场院情况；全面排查地下矿山和露天矿山等各类风险隐患。重点检查</w:t>
      </w:r>
      <w:r>
        <w:rPr>
          <w:rFonts w:hint="eastAsia" w:ascii="仿宋_GB2312" w:hAnsi="仿宋_GB2312" w:eastAsia="仿宋_GB2312" w:cs="仿宋_GB2312"/>
          <w:spacing w:val="6"/>
          <w:sz w:val="32"/>
          <w:szCs w:val="32"/>
          <w:highlight w:val="none"/>
          <w:lang w:eastAsia="zh-CN"/>
        </w:rPr>
        <w:t>企业安全责任制是否健全并落实，专业技术人员力量是否符合要求，风险隐患排查治理是否深入开展，包保责任制是否落实，是否存在违法分包转包、挂靠资质行为等。（牵头部门:矿管站）</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spacing w:val="6"/>
          <w:sz w:val="32"/>
          <w:szCs w:val="32"/>
          <w:highlight w:val="none"/>
          <w:lang w:eastAsia="zh-CN"/>
        </w:rPr>
      </w:pPr>
      <w:r>
        <w:rPr>
          <w:rFonts w:hint="eastAsia" w:ascii="楷体_GB2312" w:hAnsi="楷体_GB2312" w:eastAsia="楷体_GB2312" w:cs="楷体_GB2312"/>
          <w:spacing w:val="6"/>
          <w:sz w:val="32"/>
          <w:szCs w:val="32"/>
          <w:highlight w:val="none"/>
          <w:lang w:eastAsia="zh-CN"/>
        </w:rPr>
        <w:t>（三）敬老院安全方面：</w:t>
      </w:r>
      <w:r>
        <w:rPr>
          <w:rFonts w:hint="eastAsia" w:ascii="仿宋_GB2312" w:hAnsi="仿宋_GB2312" w:eastAsia="仿宋_GB2312" w:cs="仿宋_GB2312"/>
          <w:spacing w:val="6"/>
          <w:sz w:val="32"/>
          <w:szCs w:val="32"/>
          <w:highlight w:val="none"/>
          <w:lang w:eastAsia="zh-CN"/>
        </w:rPr>
        <w:t>重点检查安全主体责任落实、安全制度执行、日常管理措施落实、安全风险隐患排查治理等。（牵头部门:</w:t>
      </w:r>
      <w:r>
        <w:rPr>
          <w:rFonts w:hint="eastAsia" w:ascii="仿宋_GB2312" w:hAnsi="仿宋_GB2312" w:eastAsia="仿宋_GB2312" w:cs="仿宋_GB2312"/>
          <w:spacing w:val="6"/>
          <w:sz w:val="32"/>
          <w:szCs w:val="32"/>
          <w:highlight w:val="none"/>
          <w:lang w:val="en-US" w:eastAsia="zh-CN"/>
        </w:rPr>
        <w:t xml:space="preserve"> </w:t>
      </w:r>
      <w:r>
        <w:rPr>
          <w:rFonts w:hint="eastAsia" w:ascii="仿宋_GB2312" w:hAnsi="仿宋_GB2312" w:eastAsia="仿宋_GB2312" w:cs="仿宋_GB2312"/>
          <w:spacing w:val="6"/>
          <w:sz w:val="32"/>
          <w:szCs w:val="32"/>
          <w:highlight w:val="none"/>
          <w:lang w:eastAsia="zh-CN"/>
        </w:rPr>
        <w:t>公共服务办公室）</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spacing w:val="6"/>
          <w:sz w:val="32"/>
          <w:szCs w:val="32"/>
          <w:highlight w:val="none"/>
          <w:lang w:eastAsia="zh-CN"/>
        </w:rPr>
      </w:pPr>
      <w:r>
        <w:rPr>
          <w:rFonts w:hint="eastAsia" w:ascii="楷体_GB2312" w:hAnsi="楷体_GB2312" w:eastAsia="楷体_GB2312" w:cs="楷体_GB2312"/>
          <w:spacing w:val="6"/>
          <w:sz w:val="32"/>
          <w:szCs w:val="32"/>
          <w:highlight w:val="none"/>
          <w:lang w:eastAsia="zh-CN"/>
        </w:rPr>
        <w:t>（四）充电设施安全方面:</w:t>
      </w:r>
      <w:r>
        <w:rPr>
          <w:rFonts w:hint="eastAsia" w:ascii="楷体_GB2312" w:hAnsi="楷体_GB2312" w:eastAsia="楷体_GB2312" w:cs="楷体_GB2312"/>
          <w:spacing w:val="6"/>
          <w:sz w:val="32"/>
          <w:szCs w:val="32"/>
          <w:highlight w:val="none"/>
          <w:lang w:val="en-US" w:eastAsia="zh-CN"/>
        </w:rPr>
        <w:t xml:space="preserve"> </w:t>
      </w:r>
      <w:r>
        <w:rPr>
          <w:rFonts w:hint="eastAsia" w:ascii="仿宋_GB2312" w:hAnsi="仿宋_GB2312" w:eastAsia="仿宋_GB2312" w:cs="仿宋_GB2312"/>
          <w:spacing w:val="6"/>
          <w:sz w:val="32"/>
          <w:szCs w:val="32"/>
          <w:highlight w:val="none"/>
          <w:lang w:eastAsia="zh-CN"/>
        </w:rPr>
        <w:t>全面排查全链条各环节风险隐患。重点检查充电设施运营主体责任落实、项目基本建设程序、安全责任管理等。持续加强对充电设施在建设程序、安全管理制度、人员资质、现场管理、应急设施等方面的全面排查梳理，严厉打击非法违法行为，进一步规范经营秩序，有效防范安全事故发生。（牵头部门:</w:t>
      </w:r>
      <w:r>
        <w:rPr>
          <w:rFonts w:hint="eastAsia" w:ascii="仿宋_GB2312" w:hAnsi="仿宋_GB2312" w:eastAsia="仿宋_GB2312" w:cs="仿宋_GB2312"/>
          <w:spacing w:val="6"/>
          <w:sz w:val="32"/>
          <w:szCs w:val="32"/>
          <w:highlight w:val="none"/>
          <w:lang w:val="en-US" w:eastAsia="zh-CN"/>
        </w:rPr>
        <w:t xml:space="preserve"> </w:t>
      </w:r>
      <w:r>
        <w:rPr>
          <w:rFonts w:hint="eastAsia" w:ascii="仿宋_GB2312" w:hAnsi="仿宋_GB2312" w:eastAsia="仿宋_GB2312" w:cs="仿宋_GB2312"/>
          <w:spacing w:val="6"/>
          <w:sz w:val="32"/>
          <w:szCs w:val="32"/>
          <w:highlight w:val="none"/>
          <w:lang w:eastAsia="zh-CN"/>
        </w:rPr>
        <w:t>供电所）</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spacing w:val="6"/>
          <w:sz w:val="32"/>
          <w:szCs w:val="32"/>
          <w:highlight w:val="none"/>
          <w:lang w:eastAsia="zh-CN"/>
        </w:rPr>
      </w:pPr>
      <w:r>
        <w:rPr>
          <w:rFonts w:hint="eastAsia" w:ascii="楷体_GB2312" w:hAnsi="楷体_GB2312" w:eastAsia="楷体_GB2312" w:cs="楷体_GB2312"/>
          <w:spacing w:val="6"/>
          <w:sz w:val="32"/>
          <w:szCs w:val="32"/>
          <w:highlight w:val="none"/>
          <w:lang w:eastAsia="zh-CN"/>
        </w:rPr>
        <w:t>（五）建筑施工、工地安全方面:</w:t>
      </w:r>
      <w:r>
        <w:rPr>
          <w:rFonts w:hint="eastAsia" w:ascii="楷体_GB2312" w:hAnsi="楷体_GB2312" w:eastAsia="楷体_GB2312" w:cs="楷体_GB2312"/>
          <w:spacing w:val="6"/>
          <w:sz w:val="32"/>
          <w:szCs w:val="32"/>
          <w:highlight w:val="none"/>
          <w:lang w:val="en-US" w:eastAsia="zh-CN"/>
        </w:rPr>
        <w:t xml:space="preserve"> </w:t>
      </w:r>
      <w:r>
        <w:rPr>
          <w:rFonts w:hint="eastAsia" w:ascii="仿宋_GB2312" w:hAnsi="仿宋_GB2312" w:eastAsia="仿宋_GB2312" w:cs="仿宋_GB2312"/>
          <w:spacing w:val="6"/>
          <w:sz w:val="32"/>
          <w:szCs w:val="32"/>
          <w:highlight w:val="none"/>
          <w:lang w:eastAsia="zh-CN"/>
        </w:rPr>
        <w:t>全面排查建筑施工领域各类风险隐患。</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spacing w:val="6"/>
          <w:sz w:val="32"/>
          <w:szCs w:val="32"/>
          <w:highlight w:val="none"/>
          <w:lang w:eastAsia="zh-CN"/>
        </w:rPr>
      </w:pPr>
      <w:r>
        <w:rPr>
          <w:rFonts w:hint="eastAsia" w:ascii="仿宋_GB2312" w:hAnsi="仿宋_GB2312" w:eastAsia="仿宋_GB2312" w:cs="仿宋_GB2312"/>
          <w:spacing w:val="6"/>
          <w:sz w:val="32"/>
          <w:szCs w:val="32"/>
          <w:highlight w:val="none"/>
          <w:lang w:eastAsia="zh-CN"/>
        </w:rPr>
        <w:t>施工安全方面重点检查存在高大支模、大型基坑、地下暗挖、隧道施工的工程项目，聚焦施工人员集中的作业面、办公区、宿舍和食堂等重点部位，紧盯临电作业、高处作业、动火作业和有限空间作业等重点环节，加强安全风险管控，严防事故发生。</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spacing w:val="6"/>
          <w:sz w:val="32"/>
          <w:szCs w:val="32"/>
          <w:highlight w:val="none"/>
          <w:lang w:eastAsia="zh-CN"/>
        </w:rPr>
      </w:pPr>
      <w:r>
        <w:rPr>
          <w:rFonts w:hint="eastAsia" w:ascii="仿宋_GB2312" w:hAnsi="仿宋_GB2312" w:eastAsia="仿宋_GB2312" w:cs="仿宋_GB2312"/>
          <w:spacing w:val="6"/>
          <w:sz w:val="32"/>
          <w:szCs w:val="32"/>
          <w:highlight w:val="none"/>
          <w:lang w:eastAsia="zh-CN"/>
        </w:rPr>
        <w:t>工地安全方面重点检查建筑工程工地是否有安全生产操作规程;是否告知危险岗位的操作规程和违章作业的危险;是否在现场出入口、起重机械、高处作业、吊装作业、脚手架出入口、孔洞口、基坑边、每个临时用电设施设置现场安全生产警示标志;塔吊司机操作人员、起重信号工、登高架设作业人员、电工、焊工等是否持证上岗;办公区、员工宿舍等是否配备消防设施，是否存在违规使用大功率电器问题，门窗是否存在封堵问题，是否存在安装防盗窗问题;是否制定有针对性应急预案并组织定期演练;是否对员工开展安全教育培训和警示教育;是否排查梳理危险因素和制定防控措施等。</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color w:val="auto"/>
          <w:spacing w:val="6"/>
          <w:sz w:val="32"/>
          <w:szCs w:val="32"/>
          <w:highlight w:val="none"/>
          <w:lang w:eastAsia="zh-CN"/>
        </w:rPr>
      </w:pPr>
      <w:r>
        <w:rPr>
          <w:rFonts w:hint="eastAsia" w:ascii="仿宋_GB2312" w:hAnsi="仿宋_GB2312" w:eastAsia="仿宋_GB2312" w:cs="仿宋_GB2312"/>
          <w:spacing w:val="6"/>
          <w:sz w:val="32"/>
          <w:szCs w:val="32"/>
          <w:highlight w:val="none"/>
          <w:lang w:eastAsia="zh-CN"/>
        </w:rPr>
        <w:t>全面排查已建成并投入使用的高层公共建筑和高层住宅建筑安全风险隐患。聚焦消防安全、结构安全、特种设备安全、燃气安全、防雷电装置、施工作业等重点，强化高层建筑屋顶平台违章建（构）筑物和高层建筑外墙广告牌、外装饰安全的整治，严格排查违规使用易燃可燃外墙保温、违规使用易燃可燃材料装修装饰、占堵生命通道、封闭安全出口、违规违法作业等突出问题，全面解决高层建筑安全突出问题，对苌弘社区加强居民消防安全知识培训，全力确保人民生命财产安全。</w:t>
      </w:r>
      <w:r>
        <w:rPr>
          <w:rFonts w:hint="eastAsia" w:ascii="仿宋_GB2312" w:hAnsi="仿宋_GB2312" w:eastAsia="仿宋_GB2312" w:cs="仿宋_GB2312"/>
          <w:color w:val="auto"/>
          <w:spacing w:val="6"/>
          <w:sz w:val="32"/>
          <w:szCs w:val="32"/>
          <w:highlight w:val="none"/>
          <w:lang w:eastAsia="zh-CN"/>
        </w:rPr>
        <w:t>（牵头部门:</w:t>
      </w:r>
      <w:r>
        <w:rPr>
          <w:rFonts w:hint="eastAsia" w:ascii="仿宋_GB2312" w:hAnsi="仿宋_GB2312" w:eastAsia="仿宋_GB2312" w:cs="仿宋_GB2312"/>
          <w:color w:val="auto"/>
          <w:spacing w:val="6"/>
          <w:sz w:val="32"/>
          <w:szCs w:val="32"/>
          <w:highlight w:val="none"/>
          <w:lang w:val="en-US" w:eastAsia="zh-CN"/>
        </w:rPr>
        <w:t xml:space="preserve"> </w:t>
      </w:r>
      <w:r>
        <w:rPr>
          <w:rFonts w:hint="eastAsia" w:ascii="仿宋_GB2312" w:hAnsi="仿宋_GB2312" w:eastAsia="仿宋_GB2312" w:cs="仿宋_GB2312"/>
          <w:color w:val="auto"/>
          <w:spacing w:val="6"/>
          <w:sz w:val="32"/>
          <w:szCs w:val="32"/>
          <w:highlight w:val="none"/>
          <w:lang w:eastAsia="zh-CN"/>
        </w:rPr>
        <w:t>村镇规划建设办公室、焦平高速项目部）</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spacing w:val="6"/>
          <w:sz w:val="32"/>
          <w:szCs w:val="32"/>
          <w:highlight w:val="none"/>
          <w:lang w:eastAsia="zh-CN"/>
        </w:rPr>
      </w:pPr>
      <w:r>
        <w:rPr>
          <w:rFonts w:hint="eastAsia" w:ascii="楷体_GB2312" w:hAnsi="楷体_GB2312" w:eastAsia="楷体_GB2312" w:cs="楷体_GB2312"/>
          <w:spacing w:val="6"/>
          <w:sz w:val="32"/>
          <w:szCs w:val="32"/>
          <w:highlight w:val="none"/>
          <w:lang w:eastAsia="zh-CN"/>
        </w:rPr>
        <w:t>（六）镇区燃气安全方面:</w:t>
      </w:r>
      <w:r>
        <w:rPr>
          <w:rFonts w:hint="eastAsia" w:ascii="楷体_GB2312" w:hAnsi="楷体_GB2312" w:eastAsia="楷体_GB2312" w:cs="楷体_GB2312"/>
          <w:spacing w:val="6"/>
          <w:sz w:val="32"/>
          <w:szCs w:val="32"/>
          <w:highlight w:val="none"/>
          <w:lang w:val="en-US" w:eastAsia="zh-CN"/>
        </w:rPr>
        <w:t xml:space="preserve"> </w:t>
      </w:r>
      <w:r>
        <w:rPr>
          <w:rFonts w:hint="eastAsia" w:ascii="仿宋_GB2312" w:hAnsi="仿宋_GB2312" w:eastAsia="仿宋_GB2312" w:cs="仿宋_GB2312"/>
          <w:spacing w:val="6"/>
          <w:sz w:val="32"/>
          <w:szCs w:val="32"/>
          <w:highlight w:val="none"/>
          <w:lang w:eastAsia="zh-CN"/>
        </w:rPr>
        <w:t>全面排查镇区燃气全链条各环节</w:t>
      </w:r>
      <w:r>
        <w:rPr>
          <w:rFonts w:hint="eastAsia" w:ascii="仿宋_GB2312" w:hAnsi="仿宋_GB2312" w:eastAsia="仿宋_GB2312" w:cs="仿宋_GB2312"/>
          <w:color w:val="auto"/>
          <w:spacing w:val="6"/>
          <w:sz w:val="32"/>
          <w:szCs w:val="32"/>
          <w:highlight w:val="none"/>
          <w:lang w:eastAsia="zh-CN"/>
        </w:rPr>
        <w:t>风险隐患。紧盯餐饮、洗浴等人员密集场所，深入排查整治消除“问题气”“问题瓶”“问题阀”“问题软管”“问题管网”“问题环境”风险隐患，守牢燃气安全底线。（牵头部门:派出所、村镇规划建设办公室）</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spacing w:val="6"/>
          <w:sz w:val="32"/>
          <w:szCs w:val="32"/>
          <w:highlight w:val="none"/>
          <w:lang w:eastAsia="zh-CN"/>
        </w:rPr>
      </w:pPr>
      <w:r>
        <w:rPr>
          <w:rFonts w:hint="eastAsia" w:ascii="楷体_GB2312" w:hAnsi="楷体_GB2312" w:eastAsia="楷体_GB2312" w:cs="楷体_GB2312"/>
          <w:spacing w:val="6"/>
          <w:sz w:val="32"/>
          <w:szCs w:val="32"/>
          <w:highlight w:val="none"/>
          <w:lang w:eastAsia="zh-CN"/>
        </w:rPr>
        <w:t>（七）交通运输安全方面:</w:t>
      </w:r>
      <w:r>
        <w:rPr>
          <w:rFonts w:hint="eastAsia" w:ascii="仿宋_GB2312" w:hAnsi="仿宋_GB2312" w:eastAsia="仿宋_GB2312" w:cs="仿宋_GB2312"/>
          <w:spacing w:val="6"/>
          <w:sz w:val="32"/>
          <w:szCs w:val="32"/>
          <w:highlight w:val="none"/>
          <w:lang w:val="en-US" w:eastAsia="zh-CN"/>
        </w:rPr>
        <w:t xml:space="preserve"> </w:t>
      </w:r>
      <w:r>
        <w:rPr>
          <w:rFonts w:hint="eastAsia" w:ascii="仿宋_GB2312" w:hAnsi="仿宋_GB2312" w:eastAsia="仿宋_GB2312" w:cs="仿宋_GB2312"/>
          <w:spacing w:val="6"/>
          <w:sz w:val="32"/>
          <w:szCs w:val="32"/>
          <w:highlight w:val="none"/>
          <w:lang w:eastAsia="zh-CN"/>
        </w:rPr>
        <w:t>全面排查交通运输领域各类风险隐患。重点检查吸取事故教训举一反三，督导检查“两客一危一货”企业驾驶员管理、车辆管理、运输组织、动态监控、安全生产操作规程落实，公路隐患排查整治等。严厉打击违法违规行为，强化大雾、低温、雨雪、冰冻等恶劣天气下的安全防范，确保交通运输安全。督促运输经营单位严查关键设施设备带病运行、关键岗位人员教育培训不足等问题。（牵头部门:交通站）</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color w:val="auto"/>
          <w:spacing w:val="6"/>
          <w:sz w:val="32"/>
          <w:szCs w:val="32"/>
          <w:highlight w:val="none"/>
          <w:lang w:eastAsia="zh-CN"/>
        </w:rPr>
      </w:pPr>
      <w:r>
        <w:rPr>
          <w:rFonts w:hint="eastAsia" w:ascii="楷体_GB2312" w:hAnsi="楷体_GB2312" w:eastAsia="楷体_GB2312" w:cs="楷体_GB2312"/>
          <w:spacing w:val="6"/>
          <w:sz w:val="32"/>
          <w:szCs w:val="32"/>
          <w:highlight w:val="none"/>
          <w:lang w:eastAsia="zh-CN"/>
        </w:rPr>
        <w:t>（八）加油站安全方面:</w:t>
      </w:r>
      <w:r>
        <w:rPr>
          <w:rFonts w:hint="eastAsia" w:ascii="楷体_GB2312" w:hAnsi="楷体_GB2312" w:eastAsia="楷体_GB2312" w:cs="楷体_GB2312"/>
          <w:spacing w:val="6"/>
          <w:sz w:val="32"/>
          <w:szCs w:val="32"/>
          <w:highlight w:val="none"/>
          <w:lang w:val="en-US" w:eastAsia="zh-CN"/>
        </w:rPr>
        <w:t xml:space="preserve"> </w:t>
      </w:r>
      <w:r>
        <w:rPr>
          <w:rFonts w:hint="eastAsia" w:ascii="仿宋_GB2312" w:hAnsi="仿宋_GB2312" w:eastAsia="仿宋_GB2312" w:cs="仿宋_GB2312"/>
          <w:color w:val="auto"/>
          <w:spacing w:val="6"/>
          <w:sz w:val="32"/>
          <w:szCs w:val="32"/>
          <w:highlight w:val="none"/>
          <w:lang w:eastAsia="zh-CN"/>
        </w:rPr>
        <w:t>全面排查加油站安全风险隐患，重点检查安全责任制是否落实，应急预案是否及时修订，是否组织开展应急演练，油罐及其附件、加油机、油气管路、防爆电器、防雷防静电装置是否定期检测维护，各种消防器材设施是否齐全可靠，员工是否熟练掌握灭火知识等。（牵头部门:派出所）</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color w:val="auto"/>
          <w:spacing w:val="6"/>
          <w:sz w:val="32"/>
          <w:szCs w:val="32"/>
          <w:highlight w:val="none"/>
          <w:lang w:eastAsia="zh-CN"/>
        </w:rPr>
      </w:pPr>
      <w:r>
        <w:rPr>
          <w:rFonts w:hint="eastAsia" w:ascii="楷体_GB2312" w:hAnsi="楷体_GB2312" w:eastAsia="楷体_GB2312" w:cs="楷体_GB2312"/>
          <w:spacing w:val="6"/>
          <w:sz w:val="32"/>
          <w:szCs w:val="32"/>
          <w:highlight w:val="none"/>
          <w:lang w:eastAsia="zh-CN"/>
        </w:rPr>
        <w:t>（九）商超安全方面:</w:t>
      </w:r>
      <w:r>
        <w:rPr>
          <w:rFonts w:hint="eastAsia" w:ascii="仿宋_GB2312" w:hAnsi="仿宋_GB2312" w:eastAsia="仿宋_GB2312" w:cs="仿宋_GB2312"/>
          <w:color w:val="auto"/>
          <w:spacing w:val="6"/>
          <w:sz w:val="32"/>
          <w:szCs w:val="32"/>
          <w:highlight w:val="none"/>
          <w:lang w:val="en-US" w:eastAsia="zh-CN"/>
        </w:rPr>
        <w:t xml:space="preserve"> </w:t>
      </w:r>
      <w:r>
        <w:rPr>
          <w:rFonts w:hint="eastAsia" w:ascii="仿宋_GB2312" w:hAnsi="仿宋_GB2312" w:eastAsia="仿宋_GB2312" w:cs="仿宋_GB2312"/>
          <w:color w:val="auto"/>
          <w:spacing w:val="6"/>
          <w:sz w:val="32"/>
          <w:szCs w:val="32"/>
          <w:highlight w:val="none"/>
          <w:lang w:eastAsia="zh-CN"/>
        </w:rPr>
        <w:t>全面排查商场、超市安全风险隐患，重点检查是否制定落实全员安全生产责任制，是否编制应急预案和演练，是否组织全员开展安全教育和培训，安全出口、疏散通道是否畅通，是否存在顶棚年久失修安全隐患，是否违规进行电焊、气焊、切割等动火作业，是否存在使用聚氨酯泡沫等易燃可燃夹芯彩钢板搭建临时用房或分隔功能分区等现象，是否违规存在“多合一”现象等问题。（牵头部门:市场监督管理所）</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color w:val="auto"/>
          <w:spacing w:val="6"/>
          <w:sz w:val="32"/>
          <w:szCs w:val="32"/>
          <w:highlight w:val="none"/>
          <w:lang w:eastAsia="zh-CN"/>
        </w:rPr>
      </w:pPr>
      <w:r>
        <w:rPr>
          <w:rFonts w:hint="eastAsia" w:ascii="楷体_GB2312" w:hAnsi="楷体_GB2312" w:eastAsia="楷体_GB2312" w:cs="楷体_GB2312"/>
          <w:spacing w:val="6"/>
          <w:sz w:val="32"/>
          <w:szCs w:val="32"/>
          <w:highlight w:val="none"/>
          <w:lang w:eastAsia="zh-CN"/>
        </w:rPr>
        <w:t>（十）文化和旅游经营单位方面:</w:t>
      </w:r>
      <w:r>
        <w:rPr>
          <w:rFonts w:hint="eastAsia" w:ascii="仿宋_GB2312" w:hAnsi="仿宋_GB2312" w:eastAsia="仿宋_GB2312" w:cs="仿宋_GB2312"/>
          <w:color w:val="auto"/>
          <w:spacing w:val="6"/>
          <w:sz w:val="32"/>
          <w:szCs w:val="32"/>
          <w:highlight w:val="none"/>
          <w:lang w:val="en-US" w:eastAsia="zh-CN"/>
        </w:rPr>
        <w:t xml:space="preserve"> </w:t>
      </w:r>
      <w:r>
        <w:rPr>
          <w:rFonts w:hint="eastAsia" w:ascii="仿宋_GB2312" w:hAnsi="仿宋_GB2312" w:eastAsia="仿宋_GB2312" w:cs="仿宋_GB2312"/>
          <w:color w:val="auto"/>
          <w:spacing w:val="6"/>
          <w:sz w:val="32"/>
          <w:szCs w:val="32"/>
          <w:highlight w:val="none"/>
          <w:lang w:eastAsia="zh-CN"/>
        </w:rPr>
        <w:t>全面排查公共文化场馆、旅游景区景点、特种设备和大型游乐设施风险隐患。重点检查是否建立责任清单体系，是否建立健全安全生产管理制度，是否开展安全培训和应急演练，消防设施状态是否正常等。（牵头部门：市场监督管理所）</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color w:val="auto"/>
          <w:spacing w:val="6"/>
          <w:sz w:val="32"/>
          <w:szCs w:val="32"/>
          <w:highlight w:val="none"/>
          <w:lang w:eastAsia="zh-CN"/>
        </w:rPr>
      </w:pPr>
      <w:r>
        <w:rPr>
          <w:rFonts w:hint="eastAsia" w:ascii="楷体_GB2312" w:hAnsi="楷体_GB2312" w:eastAsia="楷体_GB2312" w:cs="楷体_GB2312"/>
          <w:spacing w:val="6"/>
          <w:sz w:val="32"/>
          <w:szCs w:val="32"/>
          <w:highlight w:val="none"/>
          <w:lang w:eastAsia="zh-CN"/>
        </w:rPr>
        <w:t>（十一）医疗卫生机构安全方面:</w:t>
      </w:r>
      <w:r>
        <w:rPr>
          <w:rFonts w:hint="eastAsia" w:ascii="仿宋_GB2312" w:hAnsi="仿宋_GB2312" w:eastAsia="仿宋_GB2312" w:cs="仿宋_GB2312"/>
          <w:color w:val="auto"/>
          <w:spacing w:val="6"/>
          <w:sz w:val="32"/>
          <w:szCs w:val="32"/>
          <w:highlight w:val="none"/>
          <w:lang w:val="en-US" w:eastAsia="zh-CN"/>
        </w:rPr>
        <w:t xml:space="preserve"> </w:t>
      </w:r>
      <w:r>
        <w:rPr>
          <w:rFonts w:hint="eastAsia" w:ascii="仿宋_GB2312" w:hAnsi="仿宋_GB2312" w:eastAsia="仿宋_GB2312" w:cs="仿宋_GB2312"/>
          <w:color w:val="auto"/>
          <w:spacing w:val="6"/>
          <w:sz w:val="32"/>
          <w:szCs w:val="32"/>
          <w:highlight w:val="none"/>
          <w:lang w:eastAsia="zh-CN"/>
        </w:rPr>
        <w:t>全面排查镇区医疗卫生机构（包含村卫生室诊所），聚焦安全责任制落实，应急预案、消防安全等，采取有力举措整治违规违法行为，坚守医疗系统安全底线，切实维护人民群众生命财产安全。（牵头部门:卫生院）</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color w:val="auto"/>
          <w:spacing w:val="6"/>
          <w:sz w:val="32"/>
          <w:szCs w:val="32"/>
          <w:highlight w:val="none"/>
          <w:lang w:eastAsia="zh-CN"/>
        </w:rPr>
      </w:pPr>
      <w:r>
        <w:rPr>
          <w:rFonts w:hint="eastAsia" w:ascii="楷体_GB2312" w:hAnsi="楷体_GB2312" w:eastAsia="楷体_GB2312" w:cs="楷体_GB2312"/>
          <w:spacing w:val="6"/>
          <w:sz w:val="32"/>
          <w:szCs w:val="32"/>
          <w:highlight w:val="none"/>
          <w:lang w:eastAsia="zh-CN"/>
        </w:rPr>
        <w:t>（十二）“九小”场所安全方面:</w:t>
      </w:r>
      <w:r>
        <w:rPr>
          <w:rFonts w:hint="eastAsia" w:ascii="仿宋_GB2312" w:hAnsi="仿宋_GB2312" w:eastAsia="仿宋_GB2312" w:cs="仿宋_GB2312"/>
          <w:color w:val="auto"/>
          <w:spacing w:val="6"/>
          <w:sz w:val="32"/>
          <w:szCs w:val="32"/>
          <w:highlight w:val="none"/>
          <w:lang w:val="en-US" w:eastAsia="zh-CN"/>
        </w:rPr>
        <w:t xml:space="preserve"> </w:t>
      </w:r>
      <w:r>
        <w:rPr>
          <w:rFonts w:hint="eastAsia" w:ascii="仿宋_GB2312" w:hAnsi="仿宋_GB2312" w:eastAsia="仿宋_GB2312" w:cs="仿宋_GB2312"/>
          <w:color w:val="auto"/>
          <w:spacing w:val="6"/>
          <w:sz w:val="32"/>
          <w:szCs w:val="32"/>
          <w:highlight w:val="none"/>
          <w:lang w:eastAsia="zh-CN"/>
        </w:rPr>
        <w:t>小商店、小餐馆、小网吧、小旅馆、小歌舞娱乐场所、小美容洗浴场所、小培训机构、小诊所、小生产加工企业等场所各类火灾隐患。重点检查安全责任制是否落实，消防设施、器材是否完好有效，火源、电源、气源是否符合消防安全要求，防火措施是否落实，是否定期开展演练，外墙门窗是否设置影响逃生和灭火救援的防盗网、铁栅栏和广告牌等障碍物，是否违规住人、是否违规用火用电用气等。（牵头部门:派出所）</w:t>
      </w:r>
    </w:p>
    <w:p>
      <w:pPr>
        <w:pStyle w:val="2"/>
        <w:keepNext w:val="0"/>
        <w:keepLines w:val="0"/>
        <w:pageBreakBefore w:val="0"/>
        <w:kinsoku/>
        <w:overflowPunct/>
        <w:topLinePunct w:val="0"/>
        <w:autoSpaceDE/>
        <w:autoSpaceDN/>
        <w:bidi w:val="0"/>
        <w:adjustRightInd/>
        <w:snapToGrid/>
        <w:spacing w:line="596" w:lineRule="exact"/>
        <w:ind w:left="0" w:leftChars="0" w:firstLine="664" w:firstLineChars="200"/>
        <w:jc w:val="both"/>
        <w:textAlignment w:val="auto"/>
        <w:outlineLvl w:val="9"/>
        <w:rPr>
          <w:rFonts w:hint="eastAsia"/>
          <w:spacing w:val="6"/>
          <w:lang w:eastAsia="zh-CN"/>
        </w:rPr>
      </w:pPr>
      <w:r>
        <w:rPr>
          <w:rFonts w:hint="eastAsia" w:ascii="楷体_GB2312" w:hAnsi="楷体_GB2312" w:eastAsia="楷体_GB2312" w:cs="楷体_GB2312"/>
          <w:spacing w:val="6"/>
          <w:kern w:val="2"/>
          <w:sz w:val="32"/>
          <w:szCs w:val="32"/>
          <w:highlight w:val="none"/>
          <w:lang w:val="en-US" w:eastAsia="zh-CN" w:bidi="ar-SA"/>
        </w:rPr>
        <w:t>（十三）工业企业钢架顶棚和各村文化舞台顶棚安全方面：</w:t>
      </w:r>
      <w:r>
        <w:rPr>
          <w:rFonts w:hint="eastAsia" w:ascii="仿宋_GB2312" w:hAnsi="仿宋_GB2312" w:eastAsia="仿宋_GB2312" w:cs="仿宋_GB2312"/>
          <w:color w:val="auto"/>
          <w:spacing w:val="6"/>
          <w:sz w:val="32"/>
          <w:szCs w:val="32"/>
          <w:highlight w:val="none"/>
          <w:lang w:eastAsia="zh-CN"/>
        </w:rPr>
        <w:t>检查是否存在年久失修、不牢固等隐患，并立即整改（牵头部门：经济办、各工作区、各行政村）</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黑体" w:hAnsi="黑体" w:eastAsia="黑体" w:cs="黑体"/>
          <w:color w:val="auto"/>
          <w:spacing w:val="6"/>
          <w:sz w:val="32"/>
          <w:szCs w:val="32"/>
          <w:highlight w:val="none"/>
          <w:lang w:eastAsia="zh-CN"/>
        </w:rPr>
      </w:pPr>
      <w:r>
        <w:rPr>
          <w:rFonts w:hint="eastAsia" w:ascii="黑体" w:hAnsi="黑体" w:eastAsia="黑体" w:cs="黑体"/>
          <w:color w:val="auto"/>
          <w:spacing w:val="6"/>
          <w:sz w:val="32"/>
          <w:szCs w:val="32"/>
          <w:highlight w:val="none"/>
          <w:lang w:eastAsia="zh-CN"/>
        </w:rPr>
        <w:t>四、工作要求</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color w:val="auto"/>
          <w:spacing w:val="6"/>
          <w:sz w:val="32"/>
          <w:szCs w:val="32"/>
          <w:highlight w:val="none"/>
          <w:lang w:eastAsia="zh-CN"/>
        </w:rPr>
      </w:pPr>
      <w:r>
        <w:rPr>
          <w:rFonts w:hint="eastAsia" w:ascii="楷体_GB2312" w:hAnsi="楷体_GB2312" w:eastAsia="楷体_GB2312" w:cs="楷体_GB2312"/>
          <w:color w:val="auto"/>
          <w:spacing w:val="6"/>
          <w:sz w:val="32"/>
          <w:szCs w:val="32"/>
          <w:highlight w:val="none"/>
          <w:lang w:eastAsia="zh-CN"/>
        </w:rPr>
        <w:t>（一）提高政治站位。</w:t>
      </w:r>
      <w:r>
        <w:rPr>
          <w:rFonts w:hint="eastAsia" w:ascii="仿宋_GB2312" w:hAnsi="仿宋_GB2312" w:eastAsia="仿宋_GB2312" w:cs="仿宋_GB2312"/>
          <w:color w:val="auto"/>
          <w:spacing w:val="6"/>
          <w:sz w:val="32"/>
          <w:szCs w:val="32"/>
          <w:highlight w:val="none"/>
          <w:lang w:eastAsia="zh-CN"/>
        </w:rPr>
        <w:t>各行政村、各有关部门要切实把思想和行动统一到习近平总书记重要指示精神上来，按照党中央、国务院决策部署和省委、省政府以及市委、市政府工作要求，严格落实“三管三必须”要求，坚决扛起防范化解重大安全风险的政治责任。要深刻吸取事故教训，坚决克服麻痹松懈思想和侥幸心理，组织专业力量，明确责任区域，过细抓好隐患排查，采取果断措施，不漏一处、不少一环，全面覆盖，消除隐患。要坚持以铁面、铁规、铁腕、铁心，织牢织密安全生产责任链条，坚持“三管三必须”，以更严密的制度、更严实的举措，坚决防范遏制各类事故发生，以实际行动做到“两个维护”。</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color w:val="auto"/>
          <w:spacing w:val="6"/>
          <w:sz w:val="32"/>
          <w:szCs w:val="32"/>
          <w:highlight w:val="none"/>
          <w:lang w:eastAsia="zh-CN"/>
        </w:rPr>
      </w:pPr>
      <w:r>
        <w:rPr>
          <w:rFonts w:hint="eastAsia" w:ascii="楷体_GB2312" w:hAnsi="楷体_GB2312" w:eastAsia="楷体_GB2312" w:cs="楷体_GB2312"/>
          <w:color w:val="auto"/>
          <w:spacing w:val="6"/>
          <w:sz w:val="32"/>
          <w:szCs w:val="32"/>
          <w:highlight w:val="none"/>
          <w:lang w:eastAsia="zh-CN"/>
        </w:rPr>
        <w:t>（二）严格督导督办。</w:t>
      </w:r>
      <w:r>
        <w:rPr>
          <w:rFonts w:hint="eastAsia" w:ascii="仿宋_GB2312" w:hAnsi="仿宋_GB2312" w:eastAsia="仿宋_GB2312" w:cs="仿宋_GB2312"/>
          <w:color w:val="auto"/>
          <w:spacing w:val="6"/>
          <w:sz w:val="32"/>
          <w:szCs w:val="32"/>
          <w:highlight w:val="none"/>
          <w:lang w:eastAsia="zh-CN"/>
        </w:rPr>
        <w:t>市安委办将坚持“多通报、多发督促函、多暗访”，加大通报、督办交办、提醒提示、警示约谈力度，对全国“两会”结束前发生的典型较大事故一律实行挂牌督办、提级调查，压紧压实责任，推动工作落实。要细化工作措施，明确督导内容，量化督办指标，从严从细从实推进专项行动。各牵头部门要每周向分管领导汇报专项行动开展情况，分析研判形势，协调解决突出问题;各牵头部门要围绕贯彻落实习近平总书记关于安全生产重要批示指示落实情况、安全生产责任措施落实情况、重点领域和薄弱环节隐患排查整治情况，采取“四不两直”、明查暗访、联合执法小分队等方式，深入推进精准严格执法，确保专项行动取得实效。</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color w:val="auto"/>
          <w:spacing w:val="6"/>
          <w:sz w:val="32"/>
          <w:szCs w:val="32"/>
          <w:highlight w:val="none"/>
          <w:lang w:eastAsia="zh-CN"/>
        </w:rPr>
      </w:pPr>
      <w:r>
        <w:rPr>
          <w:rFonts w:hint="eastAsia" w:ascii="楷体_GB2312" w:hAnsi="楷体_GB2312" w:eastAsia="楷体_GB2312" w:cs="楷体_GB2312"/>
          <w:color w:val="auto"/>
          <w:spacing w:val="6"/>
          <w:sz w:val="32"/>
          <w:szCs w:val="32"/>
          <w:highlight w:val="none"/>
          <w:lang w:eastAsia="zh-CN"/>
        </w:rPr>
        <w:t>（三）强化闭环整改。</w:t>
      </w:r>
      <w:r>
        <w:rPr>
          <w:rFonts w:hint="eastAsia" w:ascii="仿宋_GB2312" w:hAnsi="仿宋_GB2312" w:eastAsia="仿宋_GB2312" w:cs="仿宋_GB2312"/>
          <w:color w:val="auto"/>
          <w:spacing w:val="6"/>
          <w:sz w:val="32"/>
          <w:szCs w:val="32"/>
          <w:highlight w:val="none"/>
          <w:lang w:eastAsia="zh-CN"/>
        </w:rPr>
        <w:t>各行政村、各有关部门要持续深入推进重大事故隐患排查整治和安全生产“九查一打”专项行动，建立安全风险、隐患和问题清单台账，照单管控风险、消除隐患、整改问题。要建立完善本地重大事故隐患数据库，汇总梳理企业上报、督导检查、群众举报等途径发现的重大事故隐患，督促企业（单位）落实整改措施，实行挂牌督办，确保闭环整改。</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color w:val="auto"/>
          <w:spacing w:val="6"/>
          <w:sz w:val="32"/>
          <w:szCs w:val="32"/>
          <w:highlight w:val="none"/>
          <w:lang w:eastAsia="zh-CN"/>
        </w:rPr>
      </w:pPr>
      <w:r>
        <w:rPr>
          <w:rFonts w:hint="eastAsia" w:ascii="楷体_GB2312" w:hAnsi="楷体_GB2312" w:eastAsia="楷体_GB2312" w:cs="楷体_GB2312"/>
          <w:color w:val="auto"/>
          <w:spacing w:val="6"/>
          <w:sz w:val="32"/>
          <w:szCs w:val="32"/>
          <w:highlight w:val="none"/>
          <w:lang w:eastAsia="zh-CN"/>
        </w:rPr>
        <w:t>（四）加强安全防范。</w:t>
      </w:r>
      <w:r>
        <w:rPr>
          <w:rFonts w:hint="eastAsia" w:ascii="仿宋_GB2312" w:hAnsi="仿宋_GB2312" w:eastAsia="仿宋_GB2312" w:cs="仿宋_GB2312"/>
          <w:color w:val="auto"/>
          <w:spacing w:val="6"/>
          <w:sz w:val="32"/>
          <w:szCs w:val="32"/>
          <w:highlight w:val="none"/>
          <w:lang w:eastAsia="zh-CN"/>
        </w:rPr>
        <w:t>各行政村、各有关部门研判分析本地本行业领域安全生产形势，督促指导企业开展安全生产“大排查、大起底、大整治”专项行动，全面治理各类风险隐患，落实落细各项安全管控措施，确保专项行动取得实效。要紧盯岁末年初、复工复产等关键期，全面做好、全国两会等重点时段安全防范，充分把安全生产工作特点，督促指导企业落实落细各项管控措施，坚决杜绝赶工期、赶进度、抢产量等引发群死群伤事故。</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color w:val="auto"/>
          <w:spacing w:val="6"/>
          <w:sz w:val="32"/>
          <w:szCs w:val="32"/>
          <w:highlight w:val="none"/>
          <w:lang w:eastAsia="zh-CN"/>
        </w:rPr>
      </w:pPr>
      <w:r>
        <w:rPr>
          <w:rFonts w:hint="eastAsia" w:ascii="楷体_GB2312" w:hAnsi="楷体_GB2312" w:eastAsia="楷体_GB2312" w:cs="楷体_GB2312"/>
          <w:color w:val="auto"/>
          <w:spacing w:val="6"/>
          <w:sz w:val="32"/>
          <w:szCs w:val="32"/>
          <w:highlight w:val="none"/>
          <w:lang w:eastAsia="zh-CN"/>
        </w:rPr>
        <w:t>（五）抓好消防安全。</w:t>
      </w:r>
      <w:r>
        <w:rPr>
          <w:rFonts w:hint="eastAsia" w:ascii="仿宋_GB2312" w:hAnsi="仿宋_GB2312" w:eastAsia="仿宋_GB2312" w:cs="仿宋_GB2312"/>
          <w:color w:val="auto"/>
          <w:spacing w:val="6"/>
          <w:sz w:val="32"/>
          <w:szCs w:val="32"/>
          <w:highlight w:val="none"/>
          <w:lang w:eastAsia="zh-CN"/>
        </w:rPr>
        <w:t>各行政村、各有关部门要深刻吸取典型火灾事故教训，聚焦易造成群死群伤的“九小场所”、多业态混合生产经营场所、人员密集场所等重点部位、重点场所、重点环节，突出“十查”“三清”“两管”“五现场”消防安全重点问题，集中开展大排查、大整治、大曝光、大演练、大约谈、大督导行动。要全面排查不留死角盲区，覆盖到各经营主体、社会单位，突出薄弱环节加大排查力度，强化部门联合督导检查，进一步强化消防安全工作合力。</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color w:val="auto"/>
          <w:spacing w:val="6"/>
          <w:sz w:val="32"/>
          <w:szCs w:val="32"/>
          <w:highlight w:val="none"/>
          <w:lang w:eastAsia="zh-CN"/>
        </w:rPr>
      </w:pPr>
      <w:r>
        <w:rPr>
          <w:rFonts w:hint="eastAsia" w:ascii="楷体_GB2312" w:hAnsi="楷体_GB2312" w:eastAsia="楷体_GB2312" w:cs="楷体_GB2312"/>
          <w:color w:val="auto"/>
          <w:spacing w:val="6"/>
          <w:sz w:val="32"/>
          <w:szCs w:val="32"/>
          <w:highlight w:val="none"/>
          <w:lang w:eastAsia="zh-CN"/>
        </w:rPr>
        <w:t>（六）严肃问责问效。</w:t>
      </w:r>
      <w:r>
        <w:rPr>
          <w:rFonts w:hint="eastAsia" w:ascii="仿宋_GB2312" w:hAnsi="仿宋_GB2312" w:eastAsia="仿宋_GB2312" w:cs="仿宋_GB2312"/>
          <w:color w:val="auto"/>
          <w:spacing w:val="6"/>
          <w:sz w:val="32"/>
          <w:szCs w:val="32"/>
          <w:highlight w:val="none"/>
          <w:lang w:eastAsia="zh-CN"/>
        </w:rPr>
        <w:t>各行政村、各有关部门要切实履行属地管理责任和部门监管责任，加大本辖区、本行业领域安全隐患排查整治力度，对严重违法行为依法采取停产整顿、关闭取缔、上限处罚、联合惩戒等手段，时刻保持“打非治违”高压态势，倒逼各类问题隐患及时整改到位。要严格落实重大事故隐患判定标准，严格落实“三定两查”机制，充分发挥“领导+专家”作用，固定检查名单，固定检查对象，固定检查责任，按照“谁检查、谁签名、谁负责”的原则，坚持“一案双查”、“一案倒查”，对明明有问题却查不出或查出后跟踪整改不到位导致发生事故的，严肃追责问责，构成犯罪的移送司法机关追究刑事责任。</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color w:val="auto"/>
          <w:spacing w:val="6"/>
          <w:sz w:val="32"/>
          <w:szCs w:val="32"/>
          <w:highlight w:val="none"/>
          <w:lang w:eastAsia="zh-CN"/>
        </w:rPr>
      </w:pPr>
      <w:r>
        <w:rPr>
          <w:rFonts w:hint="eastAsia" w:ascii="楷体_GB2312" w:hAnsi="楷体_GB2312" w:eastAsia="楷体_GB2312" w:cs="楷体_GB2312"/>
          <w:color w:val="auto"/>
          <w:spacing w:val="6"/>
          <w:sz w:val="32"/>
          <w:szCs w:val="32"/>
          <w:highlight w:val="none"/>
          <w:lang w:eastAsia="zh-CN"/>
        </w:rPr>
        <w:t>（七）统筹治本攻坚。</w:t>
      </w:r>
      <w:r>
        <w:rPr>
          <w:rFonts w:hint="eastAsia" w:ascii="仿宋_GB2312" w:hAnsi="仿宋_GB2312" w:eastAsia="仿宋_GB2312" w:cs="仿宋_GB2312"/>
          <w:color w:val="auto"/>
          <w:spacing w:val="6"/>
          <w:sz w:val="32"/>
          <w:szCs w:val="32"/>
          <w:highlight w:val="none"/>
          <w:lang w:eastAsia="zh-CN"/>
        </w:rPr>
        <w:t>各行政村、各镇直有关部门要结合工作实际，迅速安排部署，以重点行业领域安全生产“大排查、大起底、大整治”专项行动实效，为全市安全生产治本攻坚三年行动开好头、起好步。</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color w:val="auto"/>
          <w:spacing w:val="6"/>
          <w:sz w:val="32"/>
          <w:szCs w:val="32"/>
          <w:highlight w:val="none"/>
          <w:lang w:eastAsia="zh-CN"/>
        </w:rPr>
      </w:pPr>
      <w:r>
        <w:rPr>
          <w:rFonts w:hint="eastAsia" w:ascii="仿宋_GB2312" w:hAnsi="仿宋_GB2312" w:eastAsia="仿宋_GB2312" w:cs="仿宋_GB2312"/>
          <w:color w:val="auto"/>
          <w:spacing w:val="6"/>
          <w:sz w:val="32"/>
          <w:szCs w:val="32"/>
          <w:highlight w:val="none"/>
          <w:lang w:eastAsia="zh-CN"/>
        </w:rPr>
        <w:t>各行政村、各有关部门每周向镇安委会办公室报“大排查、大起底、大整治”行动开展情况。</w:t>
      </w:r>
    </w:p>
    <w:p>
      <w:pPr>
        <w:keepNext w:val="0"/>
        <w:keepLines w:val="0"/>
        <w:pageBreakBefore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spacing w:val="6"/>
          <w:sz w:val="32"/>
          <w:szCs w:val="32"/>
          <w:lang w:eastAsia="zh-CN"/>
        </w:rPr>
      </w:pPr>
    </w:p>
    <w:p>
      <w:pPr>
        <w:keepNext w:val="0"/>
        <w:keepLines w:val="0"/>
        <w:pageBreakBefore w:val="0"/>
        <w:kinsoku/>
        <w:wordWrap/>
        <w:overflowPunct/>
        <w:topLinePunct w:val="0"/>
        <w:autoSpaceDE/>
        <w:autoSpaceDN/>
        <w:bidi w:val="0"/>
        <w:adjustRightInd/>
        <w:snapToGrid/>
        <w:spacing w:line="596" w:lineRule="exact"/>
        <w:ind w:left="0" w:leftChars="0" w:right="0" w:firstLine="624" w:firstLineChars="200"/>
        <w:jc w:val="both"/>
        <w:textAlignment w:val="auto"/>
        <w:outlineLvl w:val="9"/>
        <w:rPr>
          <w:rFonts w:hint="eastAsia"/>
          <w:spacing w:val="6"/>
          <w:sz w:val="30"/>
          <w:szCs w:val="30"/>
          <w:lang w:eastAsia="zh-CN"/>
        </w:rPr>
      </w:pPr>
    </w:p>
    <w:p>
      <w:pPr>
        <w:keepNext w:val="0"/>
        <w:keepLines w:val="0"/>
        <w:pageBreakBefore w:val="0"/>
        <w:widowControl w:val="0"/>
        <w:tabs>
          <w:tab w:val="left" w:pos="1550"/>
        </w:tabs>
        <w:kinsoku/>
        <w:wordWrap w:val="0"/>
        <w:overflowPunct/>
        <w:topLinePunct w:val="0"/>
        <w:autoSpaceDE/>
        <w:autoSpaceDN/>
        <w:bidi w:val="0"/>
        <w:adjustRightInd/>
        <w:snapToGrid/>
        <w:spacing w:line="596" w:lineRule="exact"/>
        <w:ind w:right="0"/>
        <w:jc w:val="both"/>
        <w:textAlignment w:val="auto"/>
        <w:outlineLvl w:val="9"/>
        <w:rPr>
          <w:rFonts w:hint="eastAsia" w:ascii="仿宋_GB2312" w:hAnsi="仿宋_GB2312" w:eastAsia="仿宋_GB2312" w:cs="仿宋_GB2312"/>
          <w:spacing w:val="6"/>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6" w:lineRule="exact"/>
        <w:ind w:left="0" w:firstLine="664" w:firstLineChars="200"/>
        <w:jc w:val="both"/>
        <w:textAlignment w:val="auto"/>
        <w:outlineLvl w:val="9"/>
        <w:rPr>
          <w:rFonts w:hint="eastAsia" w:ascii="仿宋_GB2312" w:hAnsi="仿宋_GB2312" w:eastAsia="仿宋_GB2312" w:cs="仿宋_GB2312"/>
          <w:spacing w:val="6"/>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6" w:lineRule="exact"/>
        <w:ind w:left="0" w:firstLine="444" w:firstLineChars="200"/>
        <w:jc w:val="both"/>
        <w:textAlignment w:val="auto"/>
        <w:outlineLvl w:val="9"/>
        <w:rPr>
          <w:rFonts w:hint="eastAsia"/>
          <w:spacing w:val="6"/>
          <w:lang w:val="en-US" w:eastAsia="zh-CN"/>
        </w:rPr>
      </w:pPr>
    </w:p>
    <w:p>
      <w:pPr>
        <w:keepNext w:val="0"/>
        <w:keepLines w:val="0"/>
        <w:pageBreakBefore w:val="0"/>
        <w:widowControl w:val="0"/>
        <w:kinsoku/>
        <w:wordWrap/>
        <w:overflowPunct/>
        <w:topLinePunct w:val="0"/>
        <w:autoSpaceDE/>
        <w:autoSpaceDN/>
        <w:bidi w:val="0"/>
        <w:adjustRightInd/>
        <w:snapToGrid/>
        <w:spacing w:line="596" w:lineRule="exact"/>
        <w:ind w:left="0" w:firstLine="444" w:firstLineChars="200"/>
        <w:jc w:val="both"/>
        <w:textAlignment w:val="auto"/>
        <w:outlineLvl w:val="9"/>
        <w:rPr>
          <w:rFonts w:hint="eastAsia"/>
          <w:spacing w:val="6"/>
          <w:lang w:val="en-US" w:eastAsia="zh-CN"/>
        </w:rPr>
      </w:pPr>
    </w:p>
    <w:p>
      <w:pPr>
        <w:keepNext w:val="0"/>
        <w:keepLines w:val="0"/>
        <w:pageBreakBefore w:val="0"/>
        <w:widowControl w:val="0"/>
        <w:kinsoku/>
        <w:wordWrap/>
        <w:overflowPunct/>
        <w:topLinePunct w:val="0"/>
        <w:autoSpaceDE/>
        <w:autoSpaceDN/>
        <w:bidi w:val="0"/>
        <w:adjustRightInd/>
        <w:snapToGrid/>
        <w:spacing w:line="596" w:lineRule="exact"/>
        <w:ind w:left="0" w:firstLine="444" w:firstLineChars="200"/>
        <w:jc w:val="both"/>
        <w:textAlignment w:val="auto"/>
        <w:outlineLvl w:val="9"/>
        <w:rPr>
          <w:rFonts w:hint="eastAsia"/>
          <w:spacing w:val="6"/>
          <w:lang w:val="en-US" w:eastAsia="zh-CN"/>
        </w:rPr>
      </w:pPr>
    </w:p>
    <w:p>
      <w:pPr>
        <w:keepNext w:val="0"/>
        <w:keepLines w:val="0"/>
        <w:pageBreakBefore w:val="0"/>
        <w:widowControl w:val="0"/>
        <w:kinsoku/>
        <w:wordWrap/>
        <w:overflowPunct/>
        <w:topLinePunct w:val="0"/>
        <w:autoSpaceDE/>
        <w:autoSpaceDN/>
        <w:bidi w:val="0"/>
        <w:adjustRightInd/>
        <w:snapToGrid/>
        <w:spacing w:line="596" w:lineRule="exact"/>
        <w:ind w:left="0" w:firstLine="444" w:firstLineChars="200"/>
        <w:jc w:val="both"/>
        <w:textAlignment w:val="auto"/>
        <w:outlineLvl w:val="9"/>
        <w:rPr>
          <w:rFonts w:hint="eastAsia"/>
          <w:spacing w:val="6"/>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tbl>
      <w:tblPr>
        <w:tblStyle w:val="9"/>
        <w:tblpPr w:leftFromText="180" w:rightFromText="180" w:vertAnchor="text" w:horzAnchor="page" w:tblpXSpec="center" w:tblpY="2614"/>
        <w:tblOverlap w:val="never"/>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8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880" w:type="dxa"/>
            <w:noWrap w:val="0"/>
            <w:vAlign w:val="top"/>
          </w:tcPr>
          <w:p>
            <w:pPr>
              <w:jc w:val="both"/>
              <w:rPr>
                <w:rFonts w:hint="default" w:ascii="仿宋_GB2312" w:hAnsi="仿宋_GB2312" w:eastAsia="仿宋_GB2312" w:cs="仿宋_GB2312"/>
                <w:spacing w:val="8"/>
                <w:kern w:val="2"/>
                <w:sz w:val="32"/>
                <w:szCs w:val="32"/>
                <w:vertAlign w:val="baseline"/>
                <w:lang w:val="en-US" w:eastAsia="zh-CN" w:bidi="ar-SA"/>
              </w:rPr>
            </w:pPr>
            <w:bookmarkStart w:id="0" w:name="_GoBack"/>
            <w:r>
              <w:rPr>
                <w:rFonts w:hint="eastAsia" w:ascii="仿宋_GB2312" w:hAnsi="仿宋_GB2312" w:eastAsia="仿宋_GB2312" w:cs="仿宋_GB2312"/>
                <w:spacing w:val="8"/>
                <w:sz w:val="32"/>
                <w:szCs w:val="32"/>
              </w:rPr>
              <mc:AlternateContent>
                <mc:Choice Requires="wps">
                  <w:drawing>
                    <wp:anchor distT="0" distB="0" distL="114300" distR="114300" simplePos="0" relativeHeight="251659264" behindDoc="0" locked="0" layoutInCell="1" allowOverlap="1">
                      <wp:simplePos x="0" y="0"/>
                      <wp:positionH relativeFrom="column">
                        <wp:posOffset>3950970</wp:posOffset>
                      </wp:positionH>
                      <wp:positionV relativeFrom="paragraph">
                        <wp:posOffset>358140</wp:posOffset>
                      </wp:positionV>
                      <wp:extent cx="1571625" cy="42862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571625" cy="428625"/>
                              </a:xfrm>
                              <a:prstGeom prst="rect">
                                <a:avLst/>
                              </a:prstGeom>
                              <a:noFill/>
                              <a:ln>
                                <a:noFill/>
                              </a:ln>
                            </wps:spPr>
                            <wps:txbx>
                              <w:txbxContent>
                                <w:p>
                                  <w:r>
                                    <w:rPr>
                                      <w:rFonts w:hint="eastAsia" w:ascii="仿宋_GB2312" w:hAnsi="仿宋_GB2312" w:eastAsia="仿宋_GB2312" w:cs="仿宋_GB2312"/>
                                      <w:sz w:val="32"/>
                                      <w:szCs w:val="32"/>
                                      <w:lang w:eastAsia="zh-CN"/>
                                    </w:rPr>
                                    <w:t>（共印</w:t>
                                  </w:r>
                                  <w:r>
                                    <w:rPr>
                                      <w:rFonts w:hint="eastAsia" w:ascii="仿宋_GB2312" w:hAnsi="仿宋_GB2312" w:eastAsia="仿宋_GB2312" w:cs="仿宋_GB2312"/>
                                      <w:sz w:val="32"/>
                                      <w:szCs w:val="32"/>
                                      <w:lang w:val="en-US" w:eastAsia="zh-CN"/>
                                    </w:rPr>
                                    <w:t>120份）</w:t>
                                  </w:r>
                                </w:p>
                              </w:txbxContent>
                            </wps:txbx>
                            <wps:bodyPr upright="1"/>
                          </wps:wsp>
                        </a:graphicData>
                      </a:graphic>
                    </wp:anchor>
                  </w:drawing>
                </mc:Choice>
                <mc:Fallback>
                  <w:pict>
                    <v:shape id="_x0000_s1026" o:spid="_x0000_s1026" o:spt="202" type="#_x0000_t202" style="position:absolute;left:0pt;margin-left:311.1pt;margin-top:28.2pt;height:33.75pt;width:123.75pt;z-index:251659264;mso-width-relative:page;mso-height-relative:page;" filled="f" stroked="f" coordsize="21600,21600" o:gfxdata="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WKk+V2AAA&#10;AAoBAAAPAAAAAAAAAAEAIAAAACIAAABkcnMvZG93bnJldi54bWxQSwECFAAUAAAACACHTuJAjVDW&#10;5qwBAABOAwAADgAAAAAAAAABACAAAAAnAQAAZHJzL2Uyb0RvYy54bWxQSwUGAAAAAAYABgBZAQAA&#10;RQUAAAAA&#10;">
                      <v:fill on="f" focussize="0,0"/>
                      <v:stroke on="f"/>
                      <v:imagedata o:title=""/>
                      <o:lock v:ext="edit" aspectratio="f"/>
                      <v:textbox>
                        <w:txbxContent>
                          <w:p>
                            <w:r>
                              <w:rPr>
                                <w:rFonts w:hint="eastAsia" w:ascii="仿宋_GB2312" w:hAnsi="仿宋_GB2312" w:eastAsia="仿宋_GB2312" w:cs="仿宋_GB2312"/>
                                <w:sz w:val="32"/>
                                <w:szCs w:val="32"/>
                                <w:lang w:eastAsia="zh-CN"/>
                              </w:rPr>
                              <w:t>（共印</w:t>
                            </w:r>
                            <w:r>
                              <w:rPr>
                                <w:rFonts w:hint="eastAsia" w:ascii="仿宋_GB2312" w:hAnsi="仿宋_GB2312" w:eastAsia="仿宋_GB2312" w:cs="仿宋_GB2312"/>
                                <w:sz w:val="32"/>
                                <w:szCs w:val="32"/>
                                <w:lang w:val="en-US" w:eastAsia="zh-CN"/>
                              </w:rPr>
                              <w:t>120份）</w:t>
                            </w:r>
                          </w:p>
                        </w:txbxContent>
                      </v:textbox>
                    </v:shape>
                  </w:pict>
                </mc:Fallback>
              </mc:AlternateContent>
            </w:r>
            <w:r>
              <w:rPr>
                <w:rFonts w:hint="eastAsia" w:ascii="仿宋_GB2312" w:hAnsi="仿宋_GB2312" w:eastAsia="仿宋_GB2312" w:cs="仿宋_GB2312"/>
                <w:spacing w:val="8"/>
                <w:sz w:val="32"/>
                <w:szCs w:val="32"/>
                <w:lang w:eastAsia="zh-CN"/>
              </w:rPr>
              <w:t>禹州市苌庄</w:t>
            </w:r>
            <w:r>
              <w:rPr>
                <w:rFonts w:hint="eastAsia" w:ascii="仿宋_GB2312" w:hAnsi="仿宋_GB2312" w:eastAsia="仿宋_GB2312" w:cs="仿宋_GB2312"/>
                <w:spacing w:val="8"/>
                <w:sz w:val="32"/>
                <w:szCs w:val="32"/>
              </w:rPr>
              <w:t>镇党政</w:t>
            </w:r>
            <w:r>
              <w:rPr>
                <w:rFonts w:hint="eastAsia" w:ascii="仿宋_GB2312" w:hAnsi="仿宋_GB2312" w:eastAsia="仿宋_GB2312" w:cs="仿宋_GB2312"/>
                <w:spacing w:val="8"/>
                <w:sz w:val="32"/>
                <w:szCs w:val="32"/>
                <w:lang w:val="en-US" w:eastAsia="zh-CN"/>
              </w:rPr>
              <w:t>办公室           2024</w:t>
            </w:r>
            <w:r>
              <w:rPr>
                <w:rFonts w:hint="eastAsia" w:ascii="仿宋_GB2312" w:hAnsi="仿宋_GB2312" w:eastAsia="仿宋_GB2312" w:cs="仿宋_GB2312"/>
                <w:spacing w:val="8"/>
                <w:sz w:val="32"/>
                <w:szCs w:val="32"/>
                <w:lang w:eastAsia="zh-CN"/>
              </w:rPr>
              <w:t>年</w:t>
            </w:r>
            <w:r>
              <w:rPr>
                <w:rFonts w:hint="eastAsia" w:ascii="仿宋_GB2312" w:hAnsi="仿宋_GB2312" w:eastAsia="仿宋_GB2312" w:cs="仿宋_GB2312"/>
                <w:spacing w:val="8"/>
                <w:sz w:val="32"/>
                <w:szCs w:val="32"/>
                <w:lang w:val="en-US" w:eastAsia="zh-CN"/>
              </w:rPr>
              <w:t>3月6日印发</w:t>
            </w:r>
          </w:p>
        </w:tc>
      </w:tr>
      <w:bookmarkEnd w:id="0"/>
    </w:tbl>
    <w:p>
      <w:pPr>
        <w:bidi w:val="0"/>
        <w:rPr>
          <w:rFonts w:hint="eastAsia"/>
          <w:lang w:val="en-US" w:eastAsia="zh-CN"/>
        </w:rPr>
        <w:sectPr>
          <w:footerReference r:id="rId3" w:type="default"/>
          <w:pgSz w:w="11906" w:h="16838"/>
          <w:pgMar w:top="1814" w:right="1531" w:bottom="1814" w:left="1531" w:header="851" w:footer="992" w:gutter="0"/>
          <w:pgNumType w:fmt="decimal" w:start="1"/>
          <w:cols w:space="0" w:num="1"/>
          <w:rtlGutter w:val="0"/>
          <w:docGrid w:type="lines" w:linePitch="312" w:charSpace="0"/>
        </w:sectPr>
      </w:pPr>
    </w:p>
    <w:p>
      <w:pPr>
        <w:pStyle w:val="4"/>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pStyle w:val="4"/>
        <w:rPr>
          <w:rFonts w:hint="eastAsia"/>
          <w:lang w:val="en-US" w:eastAsia="zh-CN"/>
        </w:rPr>
      </w:pPr>
    </w:p>
    <w:p>
      <w:pPr>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spacing w:val="6"/>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6" w:lineRule="exact"/>
        <w:ind w:firstLine="664" w:firstLineChars="200"/>
        <w:textAlignment w:val="auto"/>
        <w:rPr>
          <w:rFonts w:hint="eastAsia" w:ascii="仿宋_GB2312" w:hAnsi="仿宋_GB2312" w:eastAsia="仿宋_GB2312" w:cs="仿宋_GB2312"/>
          <w:spacing w:val="6"/>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6" w:lineRule="exact"/>
        <w:ind w:firstLine="664" w:firstLineChars="200"/>
        <w:textAlignment w:val="auto"/>
        <w:rPr>
          <w:rFonts w:hint="eastAsia" w:ascii="仿宋_GB2312" w:hAnsi="仿宋_GB2312" w:eastAsia="仿宋_GB2312" w:cs="仿宋_GB2312"/>
          <w:spacing w:val="6"/>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spacing w:val="6"/>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spacing w:val="6"/>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6" w:lineRule="exact"/>
        <w:ind w:left="0" w:leftChars="0" w:right="0" w:firstLine="624" w:firstLineChars="200"/>
        <w:jc w:val="both"/>
        <w:textAlignment w:val="auto"/>
        <w:outlineLvl w:val="9"/>
        <w:rPr>
          <w:rFonts w:hint="eastAsia" w:ascii="仿宋_GB2312" w:hAnsi="仿宋_GB2312" w:eastAsia="仿宋_GB2312" w:cs="仿宋_GB2312"/>
          <w:spacing w:val="6"/>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spacing w:val="6"/>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spacing w:val="6"/>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spacing w:val="6"/>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6" w:lineRule="exact"/>
        <w:ind w:left="0" w:leftChars="0" w:right="0" w:firstLine="664" w:firstLineChars="200"/>
        <w:jc w:val="both"/>
        <w:textAlignment w:val="auto"/>
        <w:outlineLvl w:val="9"/>
        <w:rPr>
          <w:rFonts w:hint="eastAsia" w:ascii="仿宋_GB2312" w:hAnsi="仿宋_GB2312" w:eastAsia="仿宋_GB2312" w:cs="仿宋_GB2312"/>
          <w:spacing w:val="6"/>
          <w:sz w:val="32"/>
          <w:szCs w:val="32"/>
          <w:lang w:val="en-US" w:eastAsia="zh-CN"/>
        </w:rPr>
      </w:pPr>
    </w:p>
    <w:p>
      <w:pPr>
        <w:pStyle w:val="4"/>
        <w:rPr>
          <w:rFonts w:hint="eastAsia" w:ascii="仿宋_GB2312" w:hAnsi="仿宋_GB2312" w:eastAsia="仿宋_GB2312" w:cs="仿宋_GB2312"/>
          <w:spacing w:val="6"/>
          <w:sz w:val="32"/>
          <w:szCs w:val="32"/>
          <w:lang w:val="en-US" w:eastAsia="zh-CN"/>
        </w:rPr>
      </w:pPr>
    </w:p>
    <w:p>
      <w:pPr>
        <w:rPr>
          <w:rFonts w:hint="eastAsia" w:ascii="仿宋_GB2312" w:hAnsi="仿宋_GB2312" w:eastAsia="仿宋_GB2312" w:cs="仿宋_GB2312"/>
          <w:spacing w:val="6"/>
          <w:sz w:val="32"/>
          <w:szCs w:val="32"/>
          <w:lang w:val="en-US" w:eastAsia="zh-CN"/>
        </w:rPr>
        <w:sectPr>
          <w:footerReference r:id="rId4" w:type="default"/>
          <w:pgSz w:w="11906" w:h="16838"/>
          <w:pgMar w:top="1984" w:right="1531" w:bottom="1984" w:left="1531" w:header="851" w:footer="992" w:gutter="0"/>
          <w:pgNumType w:fmt="decimal"/>
          <w:cols w:space="0" w:num="1"/>
          <w:rtlGutter w:val="0"/>
          <w:docGrid w:type="lines" w:linePitch="312" w:charSpace="0"/>
        </w:sect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3837"/>
        </w:tabs>
        <w:bidi w:val="0"/>
        <w:jc w:val="left"/>
        <w:rPr>
          <w:rFonts w:hint="eastAsia"/>
          <w:lang w:val="en-US" w:eastAsia="zh-CN"/>
        </w:rPr>
      </w:pPr>
      <w:r>
        <w:rPr>
          <w:rFonts w:hint="eastAsia"/>
          <w:lang w:val="en-US" w:eastAsia="zh-CN"/>
        </w:rPr>
        <w:tab/>
      </w:r>
    </w:p>
    <w:sectPr>
      <w:footerReference r:id="rId5" w:type="default"/>
      <w:pgSz w:w="11906" w:h="16838"/>
      <w:pgMar w:top="1984" w:right="1531" w:bottom="1984" w:left="153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A00002EF" w:usb1="4000004B"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-304800</wp:posOffset>
              </wp:positionV>
              <wp:extent cx="1828800" cy="51562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51562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24pt;height:40.6pt;width:144pt;mso-position-horizontal:outside;mso-position-horizontal-relative:margin;mso-wrap-style:none;z-index:251663360;mso-width-relative:page;mso-height-relative:page;" filled="f" stroked="f" coordsize="21600,21600" o:gfxdata="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">
              <v:fill on="f" focussize="0,0"/>
              <v:stroke on="f" weight="0.5pt"/>
              <v:imagedata o:title=""/>
              <o:lock v:ext="edit" aspectratio="f"/>
              <v:textbox inset="0mm,0mm,0mm,0mm">
                <w:txbxContent>
                  <w:p>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31496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3149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4.8pt;width:144pt;mso-position-horizontal:outside;mso-position-horizontal-relative:margin;mso-wrap-style:none;z-index:251662336;mso-width-relative:page;mso-height-relative:page;" filled="f" stroked="f" coordsize="21600,21600" o:gfxdata="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b6Yld9QAAAAEAQAADwAAAAAAAAABACAAAAAiAAAAZHJzL2Rvd25yZXYueG1s&#10;UEsBAhQAFAAAAAgAh07iQDOyDjE1AgAAYgQAAA4AAAAAAAAAAQAgAAAAIwEAAGRycy9lMm9Eb2Mu&#10;eG1sUEsFBgAAAAAGAAYAWQEAAMoFAAAAAA==&#10;">
              <v:fill on="f" focussize="0,0"/>
              <v:stroke on="f" weight="0.5pt"/>
              <v:imagedata o:title=""/>
              <o:lock v:ext="edit" aspectratio="f"/>
              <v:textbox inset="0mm,0mm,0mm,0mm">
                <w:txbxContent>
                  <w:p>
                    <w:pPr>
                      <w:pStyle w:val="6"/>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-304800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6"/>
                          </w:pPr>
                          <w:r>
                            <w:t xml:space="preserve">— </w:t>
                          </w:r>
                          <w:r>
                            <w:fldChar w:fldCharType="begin"/>
                          </w:r>
                          <w:r>
                            <w:instrText xml:space="preserve"> PAGE  \* MERGEFORMAT </w:instrText>
                          </w:r>
                          <w:r>
                            <w:fldChar w:fldCharType="separate"/>
                          </w:r>
                          <w:r>
                            <w:t>11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4pt;height:144pt;width:144pt;mso-position-horizontal:outside;mso-position-horizontal-relative:margin;mso-wrap-style:none;z-index:251664384;mso-width-relative:page;mso-height-relative:page;" filled="f" stroked="f" coordsize="21600,21600" o:gfxdata="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8gO9M9QAAAAIAQAADwAAAAAAAAABACAAAAAiAAAAZHJzL2Rvd25yZXYueG1sUEsB&#10;AhQAFAAAAAgAh07iQFLilsvdAgAAJAYAAA4AAAAAAAAAAQAgAAAAIwEAAGRycy9lMm9Eb2MueG1s&#10;UEsFBgAAAAAGAAYAWQEAAHIGA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11</w:t>
                    </w:r>
                    <w:r>
                      <w:fldChar w:fldCharType="end"/>
                    </w:r>
                    <w:r>
                      <w:t xml:space="preserve"> —</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31496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3149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4.8pt;width:144pt;mso-position-horizontal:outside;mso-position-horizontal-relative:margin;mso-wrap-style:none;z-index:251660288;mso-width-relative:page;mso-height-relative:page;" filled="f" stroked="f" coordsize="21600,21600" o:gfxdata="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G+mJXfUAAAABAEAAA8AAAAAAAAAAQAgAAAAIgAAAGRycy9kb3ducmV2Lnht&#10;bFBLAQIUABQAAAAIAIdO4kBkkimLNgIAAGAEAAAOAAAAAAAAAAEAIAAAACMBAABkcnMvZTJvRG9j&#10;LnhtbFBLBQYAAAAABgAGAFkBAADLBQAAAAA=&#10;">
              <v:fill on="f" focussize="0,0"/>
              <v:stroke on="f" weight="0.5pt"/>
              <v:imagedata o:title=""/>
              <o:lock v:ext="edit" aspectratio="f"/>
              <v:textbox inset="0mm,0mm,0mm,0mm">
                <w:txbxContent>
                  <w:p>
                    <w:pPr>
                      <w:pStyle w:val="6"/>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-304800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6"/>
                          </w:pPr>
                          <w:r>
                            <w:t xml:space="preserve">— </w:t>
                          </w:r>
                          <w:r>
                            <w:fldChar w:fldCharType="begin"/>
                          </w:r>
                          <w:r>
                            <w:instrText xml:space="preserve"> PAGE  \* MERGEFORMAT </w:instrText>
                          </w:r>
                          <w:r>
                            <w:fldChar w:fldCharType="separate"/>
                          </w:r>
                          <w:r>
                            <w:t>13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4pt;height:144pt;width:144pt;mso-position-horizontal:outside;mso-position-horizontal-relative:margin;mso-wrap-style:none;z-index:251665408;mso-width-relative:page;mso-height-relative:page;" filled="f" stroked="f" coordsize="21600,21600" o:gfxdata="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8gO9M9QAAAAIAQAADwAAAAAAAAABACAAAAAiAAAAZHJzL2Rvd25yZXYueG1sUEsB&#10;AhQAFAAAAAgAh07iQDAyd1LdAgAAJAYAAA4AAAAAAAAAAQAgAAAAIwEAAGRycy9lMm9Eb2MueG1s&#10;UEsFBgAAAAAGAAYAWQEAAHIGA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13</w:t>
                    </w:r>
                    <w:r>
                      <w:fldChar w:fldCharType="end"/>
                    </w:r>
                    <w:r>
                      <w:t xml:space="preserve"> —</w:t>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31496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3149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4.8pt;width:144pt;mso-position-horizontal:outside;mso-position-horizontal-relative:margin;mso-wrap-style:none;z-index:251661312;mso-width-relative:page;mso-height-relative:page;" filled="f" stroked="f" coordsize="21600,21600" o:gfxdata="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b6Yld9QAAAAEAQAADwAAAAAAAAABACAAAAAiAAAAZHJzL2Rvd25yZXYueG1s&#10;UEsBAhQAFAAAAAgAh07iQHEamd41AgAAYgQAAA4AAAAAAAAAAQAgAAAAIwEAAGRycy9lMm9Eb2Mu&#10;eG1sUEsFBgAAAAAGAAYAWQEAAMoFAAAAAA==&#10;">
              <v:fill on="f" focussize="0,0"/>
              <v:stroke on="f" weight="0.5pt"/>
              <v:imagedata o:title=""/>
              <o:lock v:ext="edit" aspectratio="f"/>
              <v:textbox inset="0mm,0mm,0mm,0mm">
                <w:txbxContent>
                  <w:p>
                    <w:pPr>
                      <w:pStyle w:val="6"/>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7"/>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3MTkwMjQ4ZTQ2YzdmYTYyNGI3YTIxMGNmNDBiOTAifQ=="/>
  </w:docVars>
  <w:rsids>
    <w:rsidRoot w:val="61BB27B7"/>
    <w:rsid w:val="0017341A"/>
    <w:rsid w:val="00B47D54"/>
    <w:rsid w:val="025C076F"/>
    <w:rsid w:val="02746B5D"/>
    <w:rsid w:val="027E5B8F"/>
    <w:rsid w:val="03751E41"/>
    <w:rsid w:val="046C587D"/>
    <w:rsid w:val="07C02A8E"/>
    <w:rsid w:val="07E06245"/>
    <w:rsid w:val="08263B8E"/>
    <w:rsid w:val="08900B5D"/>
    <w:rsid w:val="0A5E16D6"/>
    <w:rsid w:val="0C5600D7"/>
    <w:rsid w:val="0C615CF8"/>
    <w:rsid w:val="0C6D1E04"/>
    <w:rsid w:val="0D446C70"/>
    <w:rsid w:val="0D961019"/>
    <w:rsid w:val="0DE6032D"/>
    <w:rsid w:val="0E96753D"/>
    <w:rsid w:val="0ECA2872"/>
    <w:rsid w:val="0F7A2883"/>
    <w:rsid w:val="117E3121"/>
    <w:rsid w:val="135F4E32"/>
    <w:rsid w:val="137030C7"/>
    <w:rsid w:val="13B36286"/>
    <w:rsid w:val="144C7D03"/>
    <w:rsid w:val="14865F8B"/>
    <w:rsid w:val="150F18FF"/>
    <w:rsid w:val="159215CF"/>
    <w:rsid w:val="15C15DC8"/>
    <w:rsid w:val="15FD348A"/>
    <w:rsid w:val="16204D8F"/>
    <w:rsid w:val="162238F3"/>
    <w:rsid w:val="16A7794E"/>
    <w:rsid w:val="17AD0F5C"/>
    <w:rsid w:val="17E23F4A"/>
    <w:rsid w:val="189B3125"/>
    <w:rsid w:val="18B770CC"/>
    <w:rsid w:val="18CC0EED"/>
    <w:rsid w:val="1A78055F"/>
    <w:rsid w:val="1AE376A1"/>
    <w:rsid w:val="1BED7C4A"/>
    <w:rsid w:val="1CC6467F"/>
    <w:rsid w:val="1CD27C34"/>
    <w:rsid w:val="1EF965BE"/>
    <w:rsid w:val="202D7474"/>
    <w:rsid w:val="205F57EC"/>
    <w:rsid w:val="210F429E"/>
    <w:rsid w:val="21E45F57"/>
    <w:rsid w:val="23071CE6"/>
    <w:rsid w:val="23367292"/>
    <w:rsid w:val="238F70F2"/>
    <w:rsid w:val="280A7FEE"/>
    <w:rsid w:val="281C6F2E"/>
    <w:rsid w:val="28BB7769"/>
    <w:rsid w:val="28E02455"/>
    <w:rsid w:val="295E7318"/>
    <w:rsid w:val="2B292ED0"/>
    <w:rsid w:val="2C2F25CE"/>
    <w:rsid w:val="2D85651B"/>
    <w:rsid w:val="2DC76AB6"/>
    <w:rsid w:val="2DEE20B2"/>
    <w:rsid w:val="2E1B025A"/>
    <w:rsid w:val="2E6E0DD7"/>
    <w:rsid w:val="2EBC3786"/>
    <w:rsid w:val="2EC0772C"/>
    <w:rsid w:val="2EDC567B"/>
    <w:rsid w:val="2F0F7782"/>
    <w:rsid w:val="2F445D34"/>
    <w:rsid w:val="300A0002"/>
    <w:rsid w:val="3032075C"/>
    <w:rsid w:val="305845F0"/>
    <w:rsid w:val="30865B80"/>
    <w:rsid w:val="313F3FE2"/>
    <w:rsid w:val="31584039"/>
    <w:rsid w:val="31615BF7"/>
    <w:rsid w:val="31D52E88"/>
    <w:rsid w:val="31DD4D53"/>
    <w:rsid w:val="34EE78EC"/>
    <w:rsid w:val="358C587D"/>
    <w:rsid w:val="35AB1555"/>
    <w:rsid w:val="35DF489E"/>
    <w:rsid w:val="36147054"/>
    <w:rsid w:val="36725759"/>
    <w:rsid w:val="36F35214"/>
    <w:rsid w:val="370A20E7"/>
    <w:rsid w:val="37A658D8"/>
    <w:rsid w:val="37E20B72"/>
    <w:rsid w:val="386912A1"/>
    <w:rsid w:val="39692B66"/>
    <w:rsid w:val="39822EB1"/>
    <w:rsid w:val="39B02789"/>
    <w:rsid w:val="39CD67F4"/>
    <w:rsid w:val="3A424C09"/>
    <w:rsid w:val="3A506EDC"/>
    <w:rsid w:val="3AAD28FD"/>
    <w:rsid w:val="3ADB0C82"/>
    <w:rsid w:val="3BCE565E"/>
    <w:rsid w:val="3EE45629"/>
    <w:rsid w:val="4013681F"/>
    <w:rsid w:val="437F741A"/>
    <w:rsid w:val="43BA0B0C"/>
    <w:rsid w:val="43D904BE"/>
    <w:rsid w:val="44EF12AC"/>
    <w:rsid w:val="45AE45CA"/>
    <w:rsid w:val="45CE0CA1"/>
    <w:rsid w:val="465D4EA7"/>
    <w:rsid w:val="487B6EBE"/>
    <w:rsid w:val="488836DE"/>
    <w:rsid w:val="488C6415"/>
    <w:rsid w:val="4A870FFF"/>
    <w:rsid w:val="4AB638D7"/>
    <w:rsid w:val="4D14212D"/>
    <w:rsid w:val="4E0E432A"/>
    <w:rsid w:val="4F273D39"/>
    <w:rsid w:val="4F4A210F"/>
    <w:rsid w:val="50A065DC"/>
    <w:rsid w:val="515058D1"/>
    <w:rsid w:val="523C64F8"/>
    <w:rsid w:val="52C815FE"/>
    <w:rsid w:val="53E95F71"/>
    <w:rsid w:val="54502FCA"/>
    <w:rsid w:val="545371CA"/>
    <w:rsid w:val="54C2310E"/>
    <w:rsid w:val="55185D9D"/>
    <w:rsid w:val="555E5672"/>
    <w:rsid w:val="55C9192B"/>
    <w:rsid w:val="560454D8"/>
    <w:rsid w:val="56180CFE"/>
    <w:rsid w:val="56411300"/>
    <w:rsid w:val="56685B1B"/>
    <w:rsid w:val="56E12A0D"/>
    <w:rsid w:val="57442BAE"/>
    <w:rsid w:val="57524794"/>
    <w:rsid w:val="57640FF1"/>
    <w:rsid w:val="57F549C2"/>
    <w:rsid w:val="588C524A"/>
    <w:rsid w:val="58B61CA1"/>
    <w:rsid w:val="5A577000"/>
    <w:rsid w:val="5AA00FF2"/>
    <w:rsid w:val="5BDE6EBF"/>
    <w:rsid w:val="5BF6533F"/>
    <w:rsid w:val="5E2E73A6"/>
    <w:rsid w:val="5E60690D"/>
    <w:rsid w:val="5E8265C6"/>
    <w:rsid w:val="5F0938C0"/>
    <w:rsid w:val="600E01EB"/>
    <w:rsid w:val="60273552"/>
    <w:rsid w:val="61BB27B7"/>
    <w:rsid w:val="64093ECF"/>
    <w:rsid w:val="64C16427"/>
    <w:rsid w:val="64EF74E4"/>
    <w:rsid w:val="66581351"/>
    <w:rsid w:val="668A797B"/>
    <w:rsid w:val="66DE27D8"/>
    <w:rsid w:val="67132DA7"/>
    <w:rsid w:val="674D1B83"/>
    <w:rsid w:val="67A76B00"/>
    <w:rsid w:val="67C84B19"/>
    <w:rsid w:val="67CC7965"/>
    <w:rsid w:val="68473351"/>
    <w:rsid w:val="6915689F"/>
    <w:rsid w:val="69A106D4"/>
    <w:rsid w:val="69E228B1"/>
    <w:rsid w:val="6C3F6ACD"/>
    <w:rsid w:val="6C7430F8"/>
    <w:rsid w:val="6D0B5B97"/>
    <w:rsid w:val="6D4008BA"/>
    <w:rsid w:val="6D9A0D8D"/>
    <w:rsid w:val="6DAF5E86"/>
    <w:rsid w:val="6E63571A"/>
    <w:rsid w:val="71590309"/>
    <w:rsid w:val="717D451E"/>
    <w:rsid w:val="73E6120B"/>
    <w:rsid w:val="743F17D8"/>
    <w:rsid w:val="75286EE5"/>
    <w:rsid w:val="753C0E7A"/>
    <w:rsid w:val="75BC32D0"/>
    <w:rsid w:val="75D75B8C"/>
    <w:rsid w:val="75E1772C"/>
    <w:rsid w:val="760152C5"/>
    <w:rsid w:val="764B39CE"/>
    <w:rsid w:val="77334925"/>
    <w:rsid w:val="773F362D"/>
    <w:rsid w:val="780277F0"/>
    <w:rsid w:val="786B7AB1"/>
    <w:rsid w:val="79907540"/>
    <w:rsid w:val="7A035FDF"/>
    <w:rsid w:val="7ABA141D"/>
    <w:rsid w:val="7C081DD7"/>
    <w:rsid w:val="7C911D3D"/>
    <w:rsid w:val="7CAF21BB"/>
    <w:rsid w:val="7CE30529"/>
    <w:rsid w:val="7D8F2D57"/>
    <w:rsid w:val="7E525A7E"/>
    <w:rsid w:val="7E6D6EB3"/>
    <w:rsid w:val="7EA54A91"/>
    <w:rsid w:val="7F577F9C"/>
    <w:rsid w:val="7FCA14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1"/>
    <w:pPr>
      <w:ind w:left="109"/>
      <w:outlineLvl w:val="1"/>
    </w:pPr>
    <w:rPr>
      <w:rFonts w:ascii="PMingLiU-ExtB" w:hAnsi="PMingLiU-ExtB" w:eastAsia="PMingLiU-ExtB" w:cs="PMingLiU-ExtB"/>
      <w:sz w:val="44"/>
      <w:szCs w:val="44"/>
    </w:rPr>
  </w:style>
  <w:style w:type="paragraph" w:styleId="5">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rPr>
      <w:szCs w:val="24"/>
    </w:rPr>
  </w:style>
  <w:style w:type="paragraph" w:styleId="3">
    <w:name w:val="Body Text"/>
    <w:basedOn w:val="1"/>
    <w:next w:val="1"/>
    <w:qFormat/>
    <w:uiPriority w:val="0"/>
    <w:rPr>
      <w:sz w:val="24"/>
    </w:r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paragraph" w:customStyle="1" w:styleId="12">
    <w:name w:val="标题 #3"/>
    <w:basedOn w:val="1"/>
    <w:link w:val="15"/>
    <w:qFormat/>
    <w:uiPriority w:val="0"/>
    <w:pPr>
      <w:shd w:val="clear" w:color="auto" w:fill="FFFFFF"/>
      <w:spacing w:line="763" w:lineRule="exact"/>
      <w:jc w:val="center"/>
      <w:outlineLvl w:val="2"/>
    </w:pPr>
    <w:rPr>
      <w:rFonts w:ascii="MingLiU" w:hAnsi="MingLiU" w:eastAsia="MingLiU" w:cs="MingLiU"/>
      <w:sz w:val="42"/>
      <w:szCs w:val="42"/>
    </w:rPr>
  </w:style>
  <w:style w:type="paragraph" w:customStyle="1" w:styleId="13">
    <w:name w:val="正文文本 (2)"/>
    <w:basedOn w:val="1"/>
    <w:link w:val="18"/>
    <w:qFormat/>
    <w:uiPriority w:val="0"/>
    <w:pPr>
      <w:shd w:val="clear" w:color="auto" w:fill="FFFFFF"/>
      <w:spacing w:line="0" w:lineRule="atLeast"/>
      <w:jc w:val="center"/>
    </w:pPr>
    <w:rPr>
      <w:rFonts w:ascii="MingLiU" w:hAnsi="MingLiU" w:eastAsia="MingLiU" w:cs="MingLiU"/>
      <w:spacing w:val="40"/>
      <w:sz w:val="30"/>
      <w:szCs w:val="30"/>
    </w:rPr>
  </w:style>
  <w:style w:type="character" w:customStyle="1" w:styleId="14">
    <w:name w:val="标题 #3 + 19 pt"/>
    <w:basedOn w:val="15"/>
    <w:qFormat/>
    <w:uiPriority w:val="0"/>
    <w:rPr>
      <w:rFonts w:ascii="MingLiU" w:hAnsi="MingLiU" w:eastAsia="MingLiU" w:cs="MingLiU"/>
      <w:color w:val="000000"/>
      <w:spacing w:val="0"/>
      <w:w w:val="100"/>
      <w:position w:val="0"/>
      <w:sz w:val="38"/>
      <w:szCs w:val="38"/>
      <w:u w:val="none"/>
      <w:lang w:val="zh-CN" w:eastAsia="zh-CN" w:bidi="zh-CN"/>
    </w:rPr>
  </w:style>
  <w:style w:type="character" w:customStyle="1" w:styleId="15">
    <w:name w:val="标题 #3_"/>
    <w:basedOn w:val="10"/>
    <w:link w:val="12"/>
    <w:qFormat/>
    <w:uiPriority w:val="0"/>
    <w:rPr>
      <w:rFonts w:ascii="MingLiU" w:hAnsi="MingLiU" w:eastAsia="MingLiU" w:cs="MingLiU"/>
      <w:sz w:val="42"/>
      <w:szCs w:val="42"/>
    </w:rPr>
  </w:style>
  <w:style w:type="paragraph" w:customStyle="1" w:styleId="16">
    <w:name w:val="正文文本 (3)"/>
    <w:basedOn w:val="1"/>
    <w:qFormat/>
    <w:uiPriority w:val="0"/>
    <w:pPr>
      <w:shd w:val="clear" w:color="auto" w:fill="FFFFFF"/>
      <w:spacing w:line="594" w:lineRule="exact"/>
      <w:ind w:firstLine="660"/>
      <w:jc w:val="distribute"/>
    </w:pPr>
    <w:rPr>
      <w:rFonts w:ascii="MingLiU" w:hAnsi="MingLiU" w:eastAsia="MingLiU" w:cs="MingLiU"/>
      <w:sz w:val="30"/>
      <w:szCs w:val="30"/>
    </w:rPr>
  </w:style>
  <w:style w:type="character" w:customStyle="1" w:styleId="17">
    <w:name w:val="正文文本 (2) + 间距 0 pt"/>
    <w:basedOn w:val="18"/>
    <w:qFormat/>
    <w:uiPriority w:val="0"/>
    <w:rPr>
      <w:rFonts w:ascii="MingLiU" w:hAnsi="MingLiU" w:eastAsia="MingLiU" w:cs="MingLiU"/>
      <w:color w:val="000000"/>
      <w:spacing w:val="0"/>
      <w:w w:val="100"/>
      <w:position w:val="0"/>
      <w:sz w:val="30"/>
      <w:szCs w:val="30"/>
      <w:u w:val="none"/>
      <w:lang w:val="zh-CN" w:eastAsia="zh-CN" w:bidi="zh-CN"/>
    </w:rPr>
  </w:style>
  <w:style w:type="character" w:customStyle="1" w:styleId="18">
    <w:name w:val="正文文本 (2)_"/>
    <w:basedOn w:val="10"/>
    <w:link w:val="13"/>
    <w:qFormat/>
    <w:uiPriority w:val="0"/>
    <w:rPr>
      <w:rFonts w:ascii="MingLiU" w:hAnsi="MingLiU" w:eastAsia="MingLiU" w:cs="MingLiU"/>
      <w:spacing w:val="40"/>
      <w:sz w:val="30"/>
      <w:szCs w:val="30"/>
    </w:rPr>
  </w:style>
  <w:style w:type="character" w:customStyle="1" w:styleId="19">
    <w:name w:val="fontstyle01"/>
    <w:qFormat/>
    <w:uiPriority w:val="0"/>
    <w:rPr>
      <w:rFonts w:hint="eastAsia" w:ascii="宋体" w:hAnsi="宋体" w:eastAsia="宋体"/>
      <w:color w:val="000000"/>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336</Words>
  <Characters>391</Characters>
  <Lines>0</Lines>
  <Paragraphs>0</Paragraphs>
  <TotalTime>26</TotalTime>
  <ScaleCrop>false</ScaleCrop>
  <LinksUpToDate>false</LinksUpToDate>
  <CharactersWithSpaces>412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2019-04-19T03:34:00Z</dcterms:created>
  <dc:creator>伟</dc:creator>
  <cp:lastModifiedBy>Administrator</cp:lastModifiedBy>
  <cp:lastPrinted>2024-03-06T06:40:16Z</cp:lastPrinted>
  <dcterms:modified xsi:type="dcterms:W3CDTF">2024-03-06T06:46:55Z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E3CC202942974E7B8C5112AFE83AC69C_13</vt:lpwstr>
  </property>
</Properties>
</file>