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page" w:tblpXSpec="center" w:tblpY="2155"/>
        <w:tblOverlap w:val="never"/>
        <w:tblW w:w="8080" w:type="dxa"/>
        <w:jc w:val="center"/>
        <w:tblLayout w:type="autofit"/>
        <w:tblCellMar>
          <w:top w:w="0" w:type="dxa"/>
          <w:left w:w="0" w:type="dxa"/>
          <w:bottom w:w="0" w:type="dxa"/>
          <w:right w:w="0" w:type="dxa"/>
        </w:tblCellMar>
      </w:tblPr>
      <w:tblGrid>
        <w:gridCol w:w="511"/>
        <w:gridCol w:w="7569"/>
      </w:tblGrid>
      <w:tr>
        <w:trPr>
          <w:trHeight w:val="1401" w:hRule="atLeast"/>
          <w:jc w:val="center"/>
        </w:trPr>
        <w:tc>
          <w:tcPr>
            <w:tcW w:w="5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rPr>
            </w:pPr>
            <w:r>
              <w:rPr>
                <w:rFonts w:hint="eastAsia" w:ascii="仿宋" w:hAnsi="仿宋" w:eastAsia="仿宋" w:cs="仿宋"/>
                <w:sz w:val="24"/>
                <w:szCs w:val="24"/>
              </w:rPr>
              <w:t>事项名称</w:t>
            </w:r>
          </w:p>
        </w:tc>
        <w:tc>
          <w:tcPr>
            <w:tcW w:w="756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rPr>
            </w:pPr>
            <w:r>
              <w:rPr>
                <w:rFonts w:hint="eastAsia" w:ascii="仿宋" w:hAnsi="仿宋" w:eastAsia="仿宋" w:cs="仿宋"/>
                <w:sz w:val="24"/>
                <w:szCs w:val="24"/>
              </w:rPr>
              <w:t>乡镇设立广播电视站和机关、部队、团体、企业事业单位设立有线广播电视站审批</w:t>
            </w:r>
          </w:p>
        </w:tc>
      </w:tr>
      <w:tr>
        <w:tblPrEx>
          <w:tblCellMar>
            <w:top w:w="0" w:type="dxa"/>
            <w:left w:w="0" w:type="dxa"/>
            <w:bottom w:w="0" w:type="dxa"/>
            <w:right w:w="0" w:type="dxa"/>
          </w:tblCellMar>
        </w:tblPrEx>
        <w:trPr>
          <w:trHeight w:val="6326" w:hRule="atLeast"/>
          <w:jc w:val="center"/>
        </w:trPr>
        <w:tc>
          <w:tcPr>
            <w:tcW w:w="5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rPr>
            </w:pPr>
            <w:r>
              <w:rPr>
                <w:rFonts w:hint="eastAsia" w:ascii="仿宋" w:hAnsi="仿宋" w:eastAsia="仿宋" w:cs="仿宋"/>
                <w:sz w:val="24"/>
                <w:szCs w:val="24"/>
                <w:lang w:val="en-US" w:eastAsia="zh-CN"/>
              </w:rPr>
              <w:t>设定</w:t>
            </w:r>
            <w:r>
              <w:rPr>
                <w:rFonts w:hint="eastAsia" w:ascii="仿宋" w:hAnsi="仿宋" w:eastAsia="仿宋" w:cs="仿宋"/>
                <w:sz w:val="24"/>
                <w:szCs w:val="24"/>
              </w:rPr>
              <w:t>依据</w:t>
            </w:r>
          </w:p>
        </w:tc>
        <w:tc>
          <w:tcPr>
            <w:tcW w:w="756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lang w:eastAsia="zh-CN"/>
              </w:rPr>
            </w:pPr>
            <w:r>
              <w:rPr>
                <w:rFonts w:hint="eastAsia" w:ascii="仿宋" w:hAnsi="仿宋" w:eastAsia="仿宋" w:cs="仿宋"/>
                <w:sz w:val="24"/>
                <w:szCs w:val="24"/>
              </w:rPr>
              <w:t>  1、《广播电视管理条例》（1997年8月11日国务院令第228号，2017年3月1日予以修改）”第十五条 乡、镇设立广播电视站的，由所在地县级以上人民政府广播电视行政部门负责审核，并按照国务院广播电视行政部门的有关规定审批。</w:t>
            </w:r>
          </w:p>
          <w:p>
            <w:pPr>
              <w:bidi w:val="0"/>
              <w:jc w:val="both"/>
              <w:rPr>
                <w:rFonts w:hint="eastAsia" w:ascii="仿宋" w:hAnsi="仿宋" w:eastAsia="仿宋" w:cs="仿宋"/>
                <w:sz w:val="24"/>
                <w:szCs w:val="24"/>
              </w:rPr>
            </w:pPr>
            <w:r>
              <w:rPr>
                <w:rFonts w:hint="eastAsia" w:ascii="仿宋" w:hAnsi="仿宋" w:eastAsia="仿宋" w:cs="仿宋"/>
                <w:sz w:val="24"/>
                <w:szCs w:val="24"/>
              </w:rPr>
              <w:t>     2、《广播电视站审批管理暂行规定》（2004年7月6日 国家广播电影电视总局令第32号发布，自2004年8月10日起施行 ）第二条 省级广播电视行政部门根据国家广播电视发展规划和当地广播电视发展的实际情况，制定本辖区内广播电视站的规划和布局，负责本辖区内广播电视站的审批和日常管理工作。 第三条 市辖区、乡镇以及企事业单位、大专院校可申请设立广播电视站。每个申请单位只能设立一个广播电视站，并只能在广播电视行政部门核定的区域范围内播出广播电视节目。 第五条第一款 申请设立广播电视站，须由申请单位向当地县级以上广播电视行政部门提出申请，逐级审核同意后，报省级广播电视行政部门审批。 第六条 县级以上各级广播电视行政部门应按照《行政许可法》规定的期限，履行受理、审核职责，申请人符合法定条件的，由省级广播电视行政部门做出准予行政许可书面决定；依法做出不予行政许可决定的，应当书面通知申请人并说明理由。</w:t>
            </w:r>
          </w:p>
        </w:tc>
      </w:tr>
      <w:tr>
        <w:tblPrEx>
          <w:tblCellMar>
            <w:top w:w="0" w:type="dxa"/>
            <w:left w:w="0" w:type="dxa"/>
            <w:bottom w:w="0" w:type="dxa"/>
            <w:right w:w="0" w:type="dxa"/>
          </w:tblCellMar>
        </w:tblPrEx>
        <w:trPr>
          <w:trHeight w:val="3388" w:hRule="atLeast"/>
          <w:jc w:val="center"/>
        </w:trPr>
        <w:tc>
          <w:tcPr>
            <w:tcW w:w="5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rPr>
            </w:pPr>
            <w:r>
              <w:rPr>
                <w:rFonts w:hint="eastAsia" w:ascii="仿宋" w:hAnsi="仿宋" w:eastAsia="仿宋" w:cs="仿宋"/>
                <w:sz w:val="24"/>
                <w:szCs w:val="24"/>
                <w:lang w:val="en-US" w:eastAsia="zh-CN"/>
              </w:rPr>
              <w:t>申请</w:t>
            </w:r>
            <w:r>
              <w:rPr>
                <w:rFonts w:hint="eastAsia" w:ascii="仿宋" w:hAnsi="仿宋" w:eastAsia="仿宋" w:cs="仿宋"/>
                <w:sz w:val="24"/>
                <w:szCs w:val="24"/>
              </w:rPr>
              <w:t>条件</w:t>
            </w:r>
          </w:p>
        </w:tc>
        <w:tc>
          <w:tcPr>
            <w:tcW w:w="756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lang w:eastAsia="zh-CN"/>
              </w:rPr>
            </w:pPr>
            <w:r>
              <w:rPr>
                <w:rFonts w:hint="eastAsia" w:ascii="仿宋" w:hAnsi="仿宋" w:eastAsia="仿宋" w:cs="仿宋"/>
                <w:sz w:val="24"/>
                <w:szCs w:val="24"/>
              </w:rPr>
              <w:t>根据《广播电视站审批管理暂行规定》第四条规定，申请设立广播电视站，应当符合下列条件：</w:t>
            </w:r>
            <w:r>
              <w:rPr>
                <w:rFonts w:hint="eastAsia" w:ascii="仿宋" w:hAnsi="仿宋" w:eastAsia="仿宋" w:cs="仿宋"/>
                <w:sz w:val="24"/>
                <w:szCs w:val="24"/>
              </w:rPr>
              <w:t> </w:t>
            </w:r>
          </w:p>
          <w:p>
            <w:pPr>
              <w:bidi w:val="0"/>
              <w:jc w:val="both"/>
              <w:rPr>
                <w:rFonts w:hint="eastAsia" w:ascii="仿宋" w:hAnsi="仿宋" w:eastAsia="仿宋" w:cs="仿宋"/>
                <w:sz w:val="24"/>
                <w:szCs w:val="24"/>
                <w:lang w:eastAsia="zh-CN"/>
              </w:rPr>
            </w:pPr>
            <w:r>
              <w:rPr>
                <w:rFonts w:hint="eastAsia" w:ascii="仿宋" w:hAnsi="仿宋" w:eastAsia="仿宋" w:cs="仿宋"/>
                <w:sz w:val="24"/>
                <w:szCs w:val="24"/>
              </w:rPr>
              <w:t>（一）符合国家和本辖区广播电视事业和产业建设发展规划。 </w:t>
            </w:r>
          </w:p>
          <w:p>
            <w:pPr>
              <w:bidi w:val="0"/>
              <w:jc w:val="both"/>
              <w:rPr>
                <w:rFonts w:hint="eastAsia" w:ascii="仿宋" w:hAnsi="仿宋" w:eastAsia="仿宋" w:cs="仿宋"/>
                <w:sz w:val="24"/>
                <w:szCs w:val="24"/>
                <w:lang w:eastAsia="zh-CN"/>
              </w:rPr>
            </w:pPr>
            <w:r>
              <w:rPr>
                <w:rFonts w:hint="eastAsia" w:ascii="仿宋" w:hAnsi="仿宋" w:eastAsia="仿宋" w:cs="仿宋"/>
                <w:sz w:val="24"/>
                <w:szCs w:val="24"/>
              </w:rPr>
              <w:t>（二）有符合国家规定的广播电视专业人员。 </w:t>
            </w:r>
          </w:p>
          <w:p>
            <w:pPr>
              <w:bidi w:val="0"/>
              <w:jc w:val="both"/>
              <w:rPr>
                <w:rFonts w:hint="eastAsia" w:ascii="仿宋" w:hAnsi="仿宋" w:eastAsia="仿宋" w:cs="仿宋"/>
                <w:sz w:val="24"/>
                <w:szCs w:val="24"/>
                <w:lang w:eastAsia="zh-CN"/>
              </w:rPr>
            </w:pPr>
            <w:r>
              <w:rPr>
                <w:rFonts w:hint="eastAsia" w:ascii="仿宋" w:hAnsi="仿宋" w:eastAsia="仿宋" w:cs="仿宋"/>
                <w:sz w:val="24"/>
                <w:szCs w:val="24"/>
              </w:rPr>
              <w:t>（三）有符合国家规定的广播电视技术设备。 </w:t>
            </w:r>
          </w:p>
          <w:p>
            <w:pPr>
              <w:bidi w:val="0"/>
              <w:jc w:val="both"/>
              <w:rPr>
                <w:rFonts w:hint="eastAsia" w:ascii="仿宋" w:hAnsi="仿宋" w:eastAsia="仿宋" w:cs="仿宋"/>
                <w:sz w:val="24"/>
                <w:szCs w:val="24"/>
                <w:lang w:eastAsia="zh-CN"/>
              </w:rPr>
            </w:pPr>
            <w:r>
              <w:rPr>
                <w:rFonts w:hint="eastAsia" w:ascii="仿宋" w:hAnsi="仿宋" w:eastAsia="仿宋" w:cs="仿宋"/>
                <w:sz w:val="24"/>
                <w:szCs w:val="24"/>
              </w:rPr>
              <w:t>（四）有必要的基本建设资金和稳定的资金保障。 </w:t>
            </w:r>
          </w:p>
          <w:p>
            <w:pPr>
              <w:bidi w:val="0"/>
              <w:jc w:val="both"/>
              <w:rPr>
                <w:rFonts w:hint="eastAsia" w:ascii="仿宋" w:hAnsi="仿宋" w:eastAsia="仿宋" w:cs="仿宋"/>
                <w:sz w:val="24"/>
                <w:szCs w:val="24"/>
                <w:lang w:eastAsia="zh-CN"/>
              </w:rPr>
            </w:pPr>
            <w:r>
              <w:rPr>
                <w:rFonts w:hint="eastAsia" w:ascii="仿宋" w:hAnsi="仿宋" w:eastAsia="仿宋" w:cs="仿宋"/>
                <w:sz w:val="24"/>
                <w:szCs w:val="24"/>
              </w:rPr>
              <w:t>（五）有必要的场所。 </w:t>
            </w:r>
          </w:p>
          <w:p>
            <w:pPr>
              <w:bidi w:val="0"/>
              <w:jc w:val="both"/>
              <w:rPr>
                <w:rFonts w:hint="eastAsia" w:ascii="仿宋" w:hAnsi="仿宋" w:eastAsia="仿宋" w:cs="仿宋"/>
                <w:sz w:val="24"/>
                <w:szCs w:val="24"/>
              </w:rPr>
            </w:pPr>
            <w:r>
              <w:rPr>
                <w:rFonts w:hint="eastAsia" w:ascii="仿宋" w:hAnsi="仿宋" w:eastAsia="仿宋" w:cs="仿宋"/>
                <w:sz w:val="24"/>
                <w:szCs w:val="24"/>
              </w:rPr>
              <w:t>（六）省级广播电视行政部门规定的其他条件。</w:t>
            </w:r>
          </w:p>
        </w:tc>
      </w:tr>
      <w:tr>
        <w:tblPrEx>
          <w:tblCellMar>
            <w:top w:w="0" w:type="dxa"/>
            <w:left w:w="0" w:type="dxa"/>
            <w:bottom w:w="0" w:type="dxa"/>
            <w:right w:w="0" w:type="dxa"/>
          </w:tblCellMar>
        </w:tblPrEx>
        <w:trPr>
          <w:trHeight w:val="90" w:hRule="atLeast"/>
          <w:jc w:val="center"/>
        </w:trPr>
        <w:tc>
          <w:tcPr>
            <w:tcW w:w="5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办理材料</w:t>
            </w:r>
          </w:p>
        </w:tc>
        <w:tc>
          <w:tcPr>
            <w:tcW w:w="756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rPr>
            </w:pPr>
            <w:r>
              <w:rPr>
                <w:rFonts w:hint="eastAsia" w:ascii="仿宋" w:hAnsi="仿宋" w:eastAsia="仿宋" w:cs="仿宋"/>
                <w:sz w:val="24"/>
                <w:szCs w:val="24"/>
              </w:rPr>
              <w:t>1、申请书；</w:t>
            </w:r>
          </w:p>
          <w:p>
            <w:pPr>
              <w:bidi w:val="0"/>
              <w:jc w:val="both"/>
              <w:rPr>
                <w:rFonts w:hint="eastAsia" w:ascii="仿宋" w:hAnsi="仿宋" w:eastAsia="仿宋" w:cs="仿宋"/>
                <w:sz w:val="24"/>
                <w:szCs w:val="24"/>
              </w:rPr>
            </w:pPr>
            <w:r>
              <w:rPr>
                <w:rFonts w:hint="eastAsia" w:ascii="仿宋" w:hAnsi="仿宋" w:eastAsia="仿宋" w:cs="仿宋"/>
                <w:sz w:val="24"/>
                <w:szCs w:val="24"/>
              </w:rPr>
              <w:t>2、广播电视节目转播技术方案、覆盖范围以及自办广播业务或电视业务的主要内容；</w:t>
            </w:r>
          </w:p>
          <w:p>
            <w:pPr>
              <w:bidi w:val="0"/>
              <w:jc w:val="both"/>
              <w:rPr>
                <w:rFonts w:hint="eastAsia" w:ascii="仿宋" w:hAnsi="仿宋" w:eastAsia="仿宋" w:cs="仿宋"/>
                <w:sz w:val="24"/>
                <w:szCs w:val="24"/>
              </w:rPr>
            </w:pPr>
            <w:r>
              <w:rPr>
                <w:rFonts w:hint="eastAsia" w:ascii="仿宋" w:hAnsi="仿宋" w:eastAsia="仿宋" w:cs="仿宋"/>
                <w:sz w:val="24"/>
                <w:szCs w:val="24"/>
              </w:rPr>
              <w:t>3、人员、资金、场地、设备的相关证明文件；</w:t>
            </w:r>
          </w:p>
          <w:p>
            <w:pPr>
              <w:bidi w:val="0"/>
              <w:jc w:val="both"/>
              <w:rPr>
                <w:rFonts w:hint="eastAsia" w:ascii="仿宋" w:hAnsi="仿宋" w:eastAsia="仿宋" w:cs="仿宋"/>
                <w:sz w:val="24"/>
                <w:szCs w:val="24"/>
              </w:rPr>
            </w:pPr>
          </w:p>
          <w:p>
            <w:pPr>
              <w:bidi w:val="0"/>
              <w:jc w:val="both"/>
              <w:rPr>
                <w:rFonts w:hint="eastAsia" w:ascii="仿宋" w:hAnsi="仿宋" w:eastAsia="仿宋" w:cs="仿宋"/>
                <w:sz w:val="24"/>
                <w:szCs w:val="24"/>
              </w:rPr>
            </w:pPr>
            <w:r>
              <w:rPr>
                <w:rFonts w:hint="eastAsia" w:ascii="仿宋" w:hAnsi="仿宋" w:eastAsia="仿宋" w:cs="仿宋"/>
                <w:sz w:val="24"/>
                <w:szCs w:val="24"/>
              </w:rPr>
              <w:t>附件下载：</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"http://www.nnjn.gov.cn/zl/nnsjnqwhgdtyhlyj/bszn_35708/W020190613459798740298.doc" \t "http://www.nnjn.gov.cn/zl/nnsjnqwhgdtyhlyj/bszn_35708/_blank" </w:instrText>
            </w:r>
            <w:r>
              <w:rPr>
                <w:rFonts w:hint="eastAsia" w:ascii="仿宋" w:hAnsi="仿宋" w:eastAsia="仿宋" w:cs="仿宋"/>
                <w:sz w:val="24"/>
                <w:szCs w:val="24"/>
              </w:rPr>
              <w:fldChar w:fldCharType="separate"/>
            </w:r>
            <w:r>
              <w:rPr>
                <w:rStyle w:val="9"/>
                <w:rFonts w:hint="eastAsia" w:ascii="仿宋" w:hAnsi="仿宋" w:eastAsia="仿宋" w:cs="仿宋"/>
                <w:i w:val="0"/>
                <w:iCs w:val="0"/>
                <w:caps w:val="0"/>
                <w:color w:val="333333"/>
                <w:spacing w:val="0"/>
                <w:sz w:val="24"/>
                <w:szCs w:val="24"/>
                <w:u w:val="none"/>
                <w:shd w:val="clear" w:fill="FFFFFF"/>
              </w:rPr>
              <w:t>申请报告示范文本.doc</w:t>
            </w:r>
            <w:r>
              <w:rPr>
                <w:rFonts w:hint="eastAsia" w:ascii="仿宋" w:hAnsi="仿宋" w:eastAsia="仿宋" w:cs="仿宋"/>
                <w:sz w:val="24"/>
                <w:szCs w:val="24"/>
              </w:rPr>
              <w:fldChar w:fldCharType="end"/>
            </w:r>
          </w:p>
          <w:p>
            <w:pPr>
              <w:bidi w:val="0"/>
              <w:jc w:val="both"/>
              <w:rPr>
                <w:rFonts w:hint="eastAsia" w:ascii="仿宋" w:hAnsi="仿宋" w:eastAsia="仿宋" w:cs="仿宋"/>
                <w:sz w:val="24"/>
                <w:szCs w:val="24"/>
              </w:rPr>
            </w:pPr>
          </w:p>
        </w:tc>
      </w:tr>
      <w:tr>
        <w:tblPrEx>
          <w:tblCellMar>
            <w:top w:w="0" w:type="dxa"/>
            <w:left w:w="0" w:type="dxa"/>
            <w:bottom w:w="0" w:type="dxa"/>
            <w:right w:w="0" w:type="dxa"/>
          </w:tblCellMar>
        </w:tblPrEx>
        <w:trPr>
          <w:trHeight w:val="1157" w:hRule="atLeast"/>
          <w:jc w:val="center"/>
        </w:trPr>
        <w:tc>
          <w:tcPr>
            <w:tcW w:w="5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rPr>
            </w:pPr>
            <w:r>
              <w:rPr>
                <w:rFonts w:hint="eastAsia" w:ascii="仿宋" w:hAnsi="仿宋" w:eastAsia="仿宋" w:cs="仿宋"/>
                <w:sz w:val="24"/>
                <w:szCs w:val="24"/>
              </w:rPr>
              <w:t>办理地点</w:t>
            </w:r>
          </w:p>
        </w:tc>
        <w:tc>
          <w:tcPr>
            <w:tcW w:w="756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eastAsia="zh-CN"/>
              </w:rPr>
              <w:t>禹州市政务服务大</w:t>
            </w:r>
            <w:r>
              <w:rPr>
                <w:rFonts w:hint="eastAsia" w:ascii="仿宋" w:hAnsi="仿宋" w:eastAsia="仿宋" w:cs="仿宋"/>
                <w:sz w:val="24"/>
                <w:szCs w:val="24"/>
                <w:lang w:val="en-US" w:eastAsia="zh-CN"/>
              </w:rPr>
              <w:t>厅</w:t>
            </w:r>
            <w:r>
              <w:rPr>
                <w:rFonts w:hint="eastAsia" w:ascii="仿宋" w:hAnsi="仿宋" w:eastAsia="仿宋" w:cs="仿宋"/>
                <w:sz w:val="24"/>
                <w:szCs w:val="24"/>
                <w:lang w:eastAsia="zh-CN"/>
              </w:rPr>
              <w:t>综合受理区</w:t>
            </w:r>
            <w:r>
              <w:rPr>
                <w:rFonts w:hint="eastAsia" w:ascii="仿宋" w:hAnsi="仿宋" w:eastAsia="仿宋" w:cs="仿宋"/>
                <w:sz w:val="24"/>
                <w:szCs w:val="24"/>
                <w:lang w:val="en-US" w:eastAsia="zh-CN"/>
              </w:rPr>
              <w:t>综合窗口</w:t>
            </w:r>
          </w:p>
        </w:tc>
      </w:tr>
      <w:tr>
        <w:tblPrEx>
          <w:tblCellMar>
            <w:top w:w="0" w:type="dxa"/>
            <w:left w:w="0" w:type="dxa"/>
            <w:bottom w:w="0" w:type="dxa"/>
            <w:right w:w="0" w:type="dxa"/>
          </w:tblCellMar>
        </w:tblPrEx>
        <w:trPr>
          <w:trHeight w:val="1217" w:hRule="atLeast"/>
          <w:jc w:val="center"/>
        </w:trPr>
        <w:tc>
          <w:tcPr>
            <w:tcW w:w="5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rPr>
            </w:pPr>
            <w:r>
              <w:rPr>
                <w:rFonts w:hint="eastAsia" w:ascii="仿宋" w:hAnsi="仿宋" w:eastAsia="仿宋" w:cs="仿宋"/>
                <w:sz w:val="24"/>
                <w:szCs w:val="24"/>
              </w:rPr>
              <w:t>办理时间</w:t>
            </w:r>
          </w:p>
        </w:tc>
        <w:tc>
          <w:tcPr>
            <w:tcW w:w="756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rPr>
            </w:pPr>
            <w:r>
              <w:rPr>
                <w:rFonts w:hint="eastAsia" w:ascii="仿宋" w:hAnsi="仿宋" w:eastAsia="仿宋" w:cs="仿宋"/>
                <w:sz w:val="24"/>
                <w:szCs w:val="24"/>
              </w:rPr>
              <w:t>法定工作日：上午9:00—12:00，下午13:00—17:00</w:t>
            </w:r>
          </w:p>
        </w:tc>
      </w:tr>
      <w:tr>
        <w:tblPrEx>
          <w:tblCellMar>
            <w:top w:w="0" w:type="dxa"/>
            <w:left w:w="0" w:type="dxa"/>
            <w:bottom w:w="0" w:type="dxa"/>
            <w:right w:w="0" w:type="dxa"/>
          </w:tblCellMar>
        </w:tblPrEx>
        <w:trPr>
          <w:trHeight w:val="812" w:hRule="atLeast"/>
          <w:jc w:val="center"/>
        </w:trPr>
        <w:tc>
          <w:tcPr>
            <w:tcW w:w="5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rPr>
            </w:pPr>
            <w:r>
              <w:rPr>
                <w:rFonts w:hint="eastAsia" w:ascii="仿宋" w:hAnsi="仿宋" w:eastAsia="仿宋" w:cs="仿宋"/>
                <w:sz w:val="24"/>
                <w:szCs w:val="24"/>
              </w:rPr>
              <w:t>咨询电话</w:t>
            </w:r>
          </w:p>
        </w:tc>
        <w:tc>
          <w:tcPr>
            <w:tcW w:w="756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0374-2077017</w:t>
            </w:r>
          </w:p>
        </w:tc>
      </w:tr>
      <w:tr>
        <w:tblPrEx>
          <w:tblCellMar>
            <w:top w:w="0" w:type="dxa"/>
            <w:left w:w="0" w:type="dxa"/>
            <w:bottom w:w="0" w:type="dxa"/>
            <w:right w:w="0" w:type="dxa"/>
          </w:tblCellMar>
        </w:tblPrEx>
        <w:trPr>
          <w:trHeight w:val="862" w:hRule="atLeast"/>
          <w:jc w:val="center"/>
        </w:trPr>
        <w:tc>
          <w:tcPr>
            <w:tcW w:w="8080"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val="0"/>
              <w:jc w:val="both"/>
              <w:rPr>
                <w:rFonts w:hint="eastAsia" w:ascii="仿宋" w:hAnsi="仿宋" w:eastAsia="仿宋" w:cs="仿宋"/>
                <w:sz w:val="24"/>
                <w:szCs w:val="24"/>
              </w:rPr>
            </w:pPr>
            <w:r>
              <w:rPr>
                <w:rFonts w:hint="eastAsia" w:ascii="仿宋" w:hAnsi="仿宋" w:eastAsia="仿宋" w:cs="仿宋"/>
                <w:sz w:val="24"/>
                <w:szCs w:val="24"/>
              </w:rPr>
              <w:t>流程图</w:t>
            </w:r>
          </w:p>
          <w:p>
            <w:pPr>
              <w:bidi w:val="0"/>
              <w:jc w:val="both"/>
              <w:rPr>
                <w:rFonts w:hint="eastAsia" w:ascii="仿宋" w:hAnsi="仿宋" w:eastAsia="仿宋" w:cs="仿宋"/>
                <w:sz w:val="24"/>
                <w:szCs w:val="24"/>
              </w:rPr>
            </w:pPr>
          </w:p>
        </w:tc>
      </w:tr>
    </w:tbl>
    <w:p>
      <w:pPr>
        <w:rPr>
          <w:rFonts w:ascii="仿宋" w:hAnsi="仿宋" w:eastAsia="仿宋" w:cs="仿宋"/>
          <w:b/>
          <w:bCs/>
          <w:sz w:val="24"/>
          <w:szCs w:val="24"/>
        </w:rPr>
      </w:pPr>
    </w:p>
    <w:p>
      <w:pPr>
        <w:jc w:val="both"/>
        <w:rPr>
          <w:sz w:val="24"/>
          <w:szCs w:val="24"/>
        </w:rPr>
      </w:pPr>
    </w:p>
    <w:p>
      <w:pPr>
        <w:rPr>
          <w:sz w:val="24"/>
          <w:szCs w:val="24"/>
        </w:rPr>
      </w:pPr>
    </w:p>
    <w:p>
      <w:pPr>
        <w:rPr>
          <w:sz w:val="24"/>
          <w:szCs w:val="24"/>
        </w:rPr>
      </w:pPr>
    </w:p>
    <w:p>
      <w:pPr>
        <w:rPr>
          <w:sz w:val="24"/>
          <w:szCs w:val="24"/>
        </w:rPr>
      </w:pPr>
      <w:bookmarkStart w:id="0" w:name="_GoBack"/>
      <w:r>
        <w:rPr>
          <w:sz w:val="24"/>
          <w:szCs w:val="24"/>
        </w:rPr>
        <w:drawing>
          <wp:inline distT="0" distB="0" distL="114300" distR="114300">
            <wp:extent cx="5956935" cy="5047615"/>
            <wp:effectExtent l="0" t="0" r="5715" b="63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4"/>
                    <a:stretch>
                      <a:fillRect/>
                    </a:stretch>
                  </pic:blipFill>
                  <pic:spPr>
                    <a:xfrm>
                      <a:off x="0" y="0"/>
                      <a:ext cx="5956935" cy="5047615"/>
                    </a:xfrm>
                    <a:prstGeom prst="rect">
                      <a:avLst/>
                    </a:prstGeom>
                    <a:noFill/>
                    <a:ln>
                      <a:noFill/>
                    </a:ln>
                  </pic:spPr>
                </pic:pic>
              </a:graphicData>
            </a:graphic>
          </wp:inline>
        </w:drawing>
      </w:r>
      <w:bookmarkEnd w:id="0"/>
    </w:p>
    <w:p>
      <w:pPr>
        <w:rPr>
          <w:sz w:val="24"/>
          <w:szCs w:val="24"/>
        </w:rPr>
      </w:pPr>
    </w:p>
    <w:p>
      <w:pPr>
        <w:rPr>
          <w:sz w:val="24"/>
          <w:szCs w:val="24"/>
        </w:rPr>
      </w:pPr>
    </w:p>
    <w:p>
      <w:pPr>
        <w:rPr>
          <w:sz w:val="24"/>
          <w:szCs w:val="24"/>
        </w:rPr>
      </w:pPr>
    </w:p>
    <w:p>
      <w:pPr>
        <w:rPr>
          <w:sz w:val="24"/>
          <w:szCs w:val="24"/>
        </w:rPr>
      </w:pPr>
    </w:p>
    <w:p>
      <w:pPr>
        <w:rPr>
          <w:sz w:val="24"/>
          <w:szCs w:val="24"/>
        </w:rPr>
      </w:pPr>
    </w:p>
    <w:p>
      <w:pPr>
        <w:jc w:val="both"/>
        <w:rPr>
          <w:rFonts w:ascii="仿宋" w:hAnsi="仿宋" w:eastAsia="仿宋" w:cs="仿宋"/>
          <w:b/>
          <w:bCs/>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4ZTkxMzBjNWZlYjkzNmI2YzUwZWI2MGI1MmE0ODUifQ=="/>
  </w:docVars>
  <w:rsids>
    <w:rsidRoot w:val="00107C4A"/>
    <w:rsid w:val="0001130F"/>
    <w:rsid w:val="00015FCF"/>
    <w:rsid w:val="000C4AD0"/>
    <w:rsid w:val="001070BB"/>
    <w:rsid w:val="00107C4A"/>
    <w:rsid w:val="001C40D7"/>
    <w:rsid w:val="00354BB7"/>
    <w:rsid w:val="00455D6F"/>
    <w:rsid w:val="004E12B0"/>
    <w:rsid w:val="00814817"/>
    <w:rsid w:val="00AC1628"/>
    <w:rsid w:val="00B45008"/>
    <w:rsid w:val="00BB24C7"/>
    <w:rsid w:val="00F81FD6"/>
    <w:rsid w:val="00FE008E"/>
    <w:rsid w:val="03BE4B26"/>
    <w:rsid w:val="0602229E"/>
    <w:rsid w:val="063F474E"/>
    <w:rsid w:val="0E733BC2"/>
    <w:rsid w:val="0E770249"/>
    <w:rsid w:val="131C037B"/>
    <w:rsid w:val="13261AE5"/>
    <w:rsid w:val="15730920"/>
    <w:rsid w:val="232450E1"/>
    <w:rsid w:val="251C4A68"/>
    <w:rsid w:val="252F34DF"/>
    <w:rsid w:val="2A0911BA"/>
    <w:rsid w:val="2DE24315"/>
    <w:rsid w:val="3A9821EA"/>
    <w:rsid w:val="3C9F1814"/>
    <w:rsid w:val="3D596BAE"/>
    <w:rsid w:val="3D755FB3"/>
    <w:rsid w:val="3E6770EF"/>
    <w:rsid w:val="4239227F"/>
    <w:rsid w:val="48A93BAF"/>
    <w:rsid w:val="4B59720F"/>
    <w:rsid w:val="4D190D26"/>
    <w:rsid w:val="4F961B82"/>
    <w:rsid w:val="531A6940"/>
    <w:rsid w:val="55AA5292"/>
    <w:rsid w:val="62E26C94"/>
    <w:rsid w:val="6903747D"/>
    <w:rsid w:val="6AEB0580"/>
    <w:rsid w:val="6BD1514C"/>
    <w:rsid w:val="6EB300D4"/>
    <w:rsid w:val="733F049C"/>
    <w:rsid w:val="78633466"/>
    <w:rsid w:val="7A566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index 5"/>
    <w:basedOn w:val="1"/>
    <w:next w:val="1"/>
    <w:qFormat/>
    <w:uiPriority w:val="0"/>
    <w:pPr>
      <w:ind w:left="1680"/>
    </w:pPr>
    <w:rPr>
      <w:rFonts w:ascii="Calibri" w:hAnsi="Calibri" w:eastAsia="宋体" w:cs="Times New Roman"/>
    </w:rPr>
  </w:style>
  <w:style w:type="paragraph" w:styleId="4">
    <w:name w:val="footer"/>
    <w:basedOn w:val="1"/>
    <w:next w:val="3"/>
    <w:qFormat/>
    <w:uiPriority w:val="99"/>
    <w:pPr>
      <w:snapToGrid w:val="0"/>
      <w:jc w:val="left"/>
    </w:pPr>
    <w:rPr>
      <w:sz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uiPriority w:val="0"/>
    <w:rPr>
      <w:color w:val="0000FF"/>
      <w:u w:val="single"/>
    </w:rPr>
  </w:style>
  <w:style w:type="character" w:customStyle="1" w:styleId="10">
    <w:name w:val="页眉 字符"/>
    <w:basedOn w:val="8"/>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883</Words>
  <Characters>932</Characters>
  <Lines>10</Lines>
  <Paragraphs>2</Paragraphs>
  <TotalTime>16</TotalTime>
  <ScaleCrop>false</ScaleCrop>
  <LinksUpToDate>false</LinksUpToDate>
  <CharactersWithSpaces>934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2020-04-03T06:45:00Z</dcterms:created>
  <dc:creator>123</dc:creator>
  <cp:lastModifiedBy>未定义</cp:lastModifiedBy>
  <dcterms:modified xsi:type="dcterms:W3CDTF">2023-08-28T02:00:48Z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6C1F9E4B65FD4DB8B659FC836B9157FD_13</vt:lpwstr>
  </property>
</Properties>
</file>