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bidi w:val="0"/>
        <w:jc w:val="center"/>
        <w:rPr>
          <w:rFonts w:hint="eastAsia" w:asciiTheme="minorEastAsia" w:hAnsiTheme="minorEastAsia" w:eastAsiaTheme="minorEastAsia" w:cstheme="minorEastAsia"/>
          <w:sz w:val="44"/>
          <w:szCs w:val="44"/>
          <w:lang w:val="en-US" w:eastAsia="zh-CN"/>
        </w:rPr>
      </w:pPr>
      <w:r>
        <w:rPr>
          <w:sz w:val="44"/>
        </w:rPr>
        <mc:AlternateContent>
          <mc:Choice Requires="wps">
            <w:drawing>
              <wp:anchor distT="0" distB="0" distL="114300" distR="114300" simplePos="0" relativeHeight="251659264" behindDoc="0" locked="0" layoutInCell="1" allowOverlap="1">
                <wp:simplePos x="0" y="0"/>
                <wp:positionH relativeFrom="column">
                  <wp:posOffset>-422275</wp:posOffset>
                </wp:positionH>
                <wp:positionV relativeFrom="paragraph">
                  <wp:posOffset>-1139825</wp:posOffset>
                </wp:positionV>
                <wp:extent cx="1161415" cy="493395"/>
                <wp:effectExtent l="0" t="0" r="635" b="1905"/>
                <wp:wrapNone/>
                <wp:docPr id="1" name="文本框 1"/>
                <wp:cNvGraphicFramePr/>
                <a:graphic xmlns:a="http://schemas.openxmlformats.org/drawingml/2006/main">
                  <a:graphicData uri="http://schemas.microsoft.com/office/word/2010/wordprocessingShape">
                    <wps:wsp>
                      <wps:cNvSpPr txBox="1"/>
                      <wps:spPr>
                        <a:xfrm>
                          <a:off x="117475" y="97155"/>
                          <a:ext cx="1161415" cy="493395"/>
                        </a:xfrm>
                        <a:prstGeom prst="rect">
                          <a:avLst/>
                        </a:prstGeom>
                        <a:solidFill>
                          <a:schemeClr val="lt1"/>
                        </a:solidFill>
                        <a:ln w="12700">
                          <a:noFill/>
                        </a:ln>
                      </wps:spPr>
                      <wps:style>
                        <a:lnRef idx="0">
                          <a:schemeClr val="accent1"/>
                        </a:lnRef>
                        <a:fillRef idx="0">
                          <a:schemeClr val="accent1"/>
                        </a:fillRef>
                        <a:effectRef idx="0">
                          <a:schemeClr val="accent1"/>
                        </a:effectRef>
                        <a:fontRef idx="minor">
                          <a:schemeClr val="dk1"/>
                        </a:fontRef>
                      </wps:style>
                      <wps:txbx>
                        <w:txbxContent>
                          <w:p>
                            <w:pPr>
                              <w:jc w:val="both"/>
                              <w:rPr>
                                <w:rFonts w:hint="eastAsia" w:ascii="方正小标宋简体" w:hAnsi="方正小标宋简体" w:eastAsia="方正小标宋简体" w:cs="方正小标宋简体"/>
                                <w:b w:val="0"/>
                                <w:bCs w:val="0"/>
                                <w:color w:val="000000" w:themeColor="text1"/>
                                <w:sz w:val="28"/>
                                <w:szCs w:val="28"/>
                                <w:lang w:val="en-US" w:eastAsia="zh-CN"/>
                                <w14:textOutline w14:w="0" w14:cmpd="dbl">
                                  <w14:solidFill>
                                    <w14:schemeClr w14:val="tx1"/>
                                  </w14:solidFill>
                                  <w14:round/>
                                </w14:textOutline>
                                <w14:textFill>
                                  <w14:solidFill>
                                    <w14:schemeClr w14:val="tx1"/>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25pt;margin-top:-89.75pt;height:38.85pt;width:91.45pt;z-index:251659264;mso-width-relative:page;mso-height-relative:page;" fillcolor="#FFFFFF [3201]" filled="t" stroked="f" coordsize="21600,21600" o:gfxdata="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Jzp+FLa&#10;AAAADQEAAA8AAAAAAAAAAQAgAAAAIgAAAGRycy9kb3ducmV2LnhtbFBLAQIUABQAAAAIAIdO4kBM&#10;SLuEVwIAAJkEAAAOAAAAAAAAAAEAIAAAACkBAABkcnMvZTJvRG9jLnhtbFBLBQYAAAAABgAGAFkB&#10;AADyBQAAAAA=&#10;">
                <v:fill on="t" focussize="0,0"/>
                <v:stroke on="f" weight="1pt"/>
                <v:imagedata o:title=""/>
                <o:lock v:ext="edit" aspectratio="f"/>
                <v:textbox>
                  <w:txbxContent>
                    <w:p>
                      <w:pPr>
                        <w:jc w:val="both"/>
                        <w:rPr>
                          <w:rFonts w:hint="eastAsia" w:ascii="方正小标宋简体" w:hAnsi="方正小标宋简体" w:eastAsia="方正小标宋简体" w:cs="方正小标宋简体"/>
                          <w:b w:val="0"/>
                          <w:bCs w:val="0"/>
                          <w:color w:val="000000" w:themeColor="text1"/>
                          <w:sz w:val="28"/>
                          <w:szCs w:val="28"/>
                          <w:lang w:val="en-US" w:eastAsia="zh-CN"/>
                          <w14:textOutline w14:w="0" w14:cmpd="dbl">
                            <w14:solidFill>
                              <w14:schemeClr w14:val="tx1"/>
                            </w14:solidFill>
                            <w14:round/>
                          </w14:textOutline>
                          <w14:textFill>
                            <w14:solidFill>
                              <w14:schemeClr w14:val="tx1"/>
                            </w14:solidFill>
                          </w14:textFill>
                        </w:rPr>
                      </w:pPr>
                    </w:p>
                  </w:txbxContent>
                </v:textbox>
              </v:shape>
            </w:pict>
          </mc:Fallback>
        </mc:AlternateContent>
      </w:r>
    </w:p>
    <w:p>
      <w:pPr>
        <w:bidi w:val="0"/>
        <w:jc w:val="both"/>
        <w:rPr>
          <w:rFonts w:hint="eastAsia" w:asciiTheme="minorEastAsia" w:hAnsiTheme="minorEastAsia" w:eastAsiaTheme="minorEastAsia" w:cstheme="minorEastAsia"/>
          <w:sz w:val="44"/>
          <w:szCs w:val="44"/>
          <w:lang w:val="en-US" w:eastAsia="zh-CN"/>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jc w:val="center"/>
        <w:textAlignment w:val="top"/>
        <w:rPr>
          <w:rFonts w:hint="eastAsia" w:asciiTheme="minorEastAsia" w:hAnsiTheme="minorEastAsia" w:eastAsiaTheme="minorEastAsia" w:cstheme="minorEastAsia"/>
          <w:i w:val="0"/>
          <w:iCs w:val="0"/>
          <w:caps w:val="0"/>
          <w:color w:val="000000"/>
          <w:spacing w:val="0"/>
          <w:sz w:val="44"/>
          <w:szCs w:val="44"/>
        </w:rPr>
      </w:pPr>
      <w:r>
        <w:rPr>
          <w:rFonts w:hint="eastAsia" w:asciiTheme="minorEastAsia" w:hAnsiTheme="minorEastAsia" w:eastAsiaTheme="minorEastAsia" w:cstheme="minorEastAsia"/>
          <w:i w:val="0"/>
          <w:iCs w:val="0"/>
          <w:caps w:val="0"/>
          <w:color w:val="000000"/>
          <w:spacing w:val="0"/>
          <w:sz w:val="44"/>
          <w:szCs w:val="44"/>
          <w:shd w:val="clear" w:fill="FFFFFF"/>
        </w:rPr>
        <w:t>河南省农村供水管理办法</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楷体_GB2312" w:hAnsi="楷体_GB2312" w:eastAsia="楷体_GB2312" w:cs="楷体_GB2312"/>
          <w:i w:val="0"/>
          <w:caps w:val="0"/>
          <w:color w:val="333333"/>
          <w:spacing w:val="0"/>
          <w:sz w:val="32"/>
          <w:szCs w:val="32"/>
          <w:shd w:val="clear" w:fill="FFFFFF"/>
          <w:lang w:val="en-US" w:eastAsia="zh-CN"/>
        </w:rPr>
      </w:pPr>
      <w:r>
        <w:rPr>
          <w:rFonts w:hint="eastAsia" w:ascii="楷体_GB2312" w:hAnsi="楷体_GB2312" w:eastAsia="楷体_GB2312" w:cs="楷体_GB2312"/>
          <w:i w:val="0"/>
          <w:caps w:val="0"/>
          <w:color w:val="333333"/>
          <w:spacing w:val="0"/>
          <w:sz w:val="32"/>
          <w:szCs w:val="32"/>
          <w:shd w:val="clear" w:fill="FFFFFF"/>
          <w:lang w:val="en-US" w:eastAsia="zh-CN"/>
        </w:rPr>
        <w:t>(2023年12月27日河南省人民政府令第223号公布  自2024年3月1日起施行)</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宋体" w:hAnsi="宋体" w:eastAsia="宋体" w:cs="宋体"/>
          <w:i w:val="0"/>
          <w:iCs w:val="0"/>
          <w:caps w:val="0"/>
          <w:color w:val="000000"/>
          <w:spacing w:val="0"/>
          <w:sz w:val="27"/>
          <w:szCs w:val="27"/>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jc w:val="center"/>
        <w:textAlignment w:val="top"/>
        <w:rPr>
          <w:rFonts w:hint="eastAsia" w:ascii="宋体" w:hAnsi="宋体" w:eastAsia="宋体" w:cs="宋体"/>
          <w:i w:val="0"/>
          <w:iCs w:val="0"/>
          <w:caps w:val="0"/>
          <w:color w:val="000000"/>
          <w:spacing w:val="0"/>
          <w:sz w:val="32"/>
          <w:szCs w:val="32"/>
        </w:rPr>
      </w:pPr>
      <w:r>
        <w:rPr>
          <w:rFonts w:ascii="黑体" w:hAnsi="宋体" w:eastAsia="黑体" w:cs="黑体"/>
          <w:i w:val="0"/>
          <w:iCs w:val="0"/>
          <w:caps w:val="0"/>
          <w:color w:val="000000"/>
          <w:spacing w:val="0"/>
          <w:sz w:val="32"/>
          <w:szCs w:val="32"/>
          <w:shd w:val="clear" w:fill="FFFFFF"/>
        </w:rPr>
        <w:t>第一章</w:t>
      </w:r>
      <w:r>
        <w:rPr>
          <w:rFonts w:hint="eastAsia" w:ascii="黑体" w:hAnsi="宋体" w:eastAsia="黑体" w:cs="黑体"/>
          <w:i w:val="0"/>
          <w:iCs w:val="0"/>
          <w:caps w:val="0"/>
          <w:color w:val="333333"/>
          <w:spacing w:val="0"/>
          <w:sz w:val="32"/>
          <w:szCs w:val="32"/>
          <w:shd w:val="clear" w:fill="FFFFFF"/>
        </w:rPr>
        <w:t>　</w:t>
      </w:r>
      <w:r>
        <w:rPr>
          <w:rFonts w:hint="eastAsia" w:ascii="黑体" w:hAnsi="宋体" w:eastAsia="黑体" w:cs="黑体"/>
          <w:i w:val="0"/>
          <w:iCs w:val="0"/>
          <w:caps w:val="0"/>
          <w:color w:val="000000"/>
          <w:spacing w:val="0"/>
          <w:sz w:val="32"/>
          <w:szCs w:val="32"/>
          <w:shd w:val="clear" w:fill="FFFFFF"/>
        </w:rPr>
        <w:t>总</w:t>
      </w:r>
      <w:r>
        <w:rPr>
          <w:rFonts w:hint="eastAsia" w:ascii="黑体" w:hAnsi="宋体" w:eastAsia="黑体" w:cs="黑体"/>
          <w:i w:val="0"/>
          <w:iCs w:val="0"/>
          <w:caps w:val="0"/>
          <w:color w:val="333333"/>
          <w:spacing w:val="0"/>
          <w:sz w:val="32"/>
          <w:szCs w:val="32"/>
          <w:shd w:val="clear" w:fill="FFFFFF"/>
        </w:rPr>
        <w:t>　　</w:t>
      </w:r>
      <w:r>
        <w:rPr>
          <w:rFonts w:hint="eastAsia" w:ascii="黑体" w:hAnsi="宋体" w:eastAsia="黑体" w:cs="黑体"/>
          <w:i w:val="0"/>
          <w:iCs w:val="0"/>
          <w:caps w:val="0"/>
          <w:color w:val="000000"/>
          <w:spacing w:val="0"/>
          <w:sz w:val="32"/>
          <w:szCs w:val="32"/>
          <w:shd w:val="clear" w:fill="FFFFFF"/>
        </w:rPr>
        <w:t>则</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宋体" w:hAnsi="宋体" w:eastAsia="宋体" w:cs="宋体"/>
          <w:i w:val="0"/>
          <w:iCs w:val="0"/>
          <w:caps w:val="0"/>
          <w:color w:val="000000"/>
          <w:spacing w:val="0"/>
          <w:sz w:val="27"/>
          <w:szCs w:val="27"/>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jc w:val="both"/>
        <w:textAlignment w:val="top"/>
        <w:rPr>
          <w:rFonts w:hint="eastAsia" w:ascii="仿宋_GB2312" w:hAnsi="仿宋_GB2312" w:eastAsia="仿宋_GB2312" w:cs="仿宋_GB2312"/>
          <w:i w:val="0"/>
          <w:iCs w:val="0"/>
          <w:caps w:val="0"/>
          <w:color w:val="000000"/>
          <w:spacing w:val="0"/>
          <w:sz w:val="32"/>
          <w:szCs w:val="32"/>
        </w:rPr>
      </w:pPr>
      <w:r>
        <w:rPr>
          <w:rFonts w:hint="eastAsia" w:ascii="宋体" w:hAnsi="宋体" w:eastAsia="宋体" w:cs="宋体"/>
          <w:i w:val="0"/>
          <w:iCs w:val="0"/>
          <w:caps w:val="0"/>
          <w:color w:val="000000"/>
          <w:spacing w:val="0"/>
          <w:sz w:val="31"/>
          <w:szCs w:val="31"/>
          <w:shd w:val="clear" w:fill="FFFFFF"/>
        </w:rPr>
        <w:t>　　</w:t>
      </w:r>
      <w:r>
        <w:rPr>
          <w:rFonts w:hint="eastAsia" w:ascii="黑体" w:hAnsi="黑体" w:eastAsia="黑体" w:cs="黑体"/>
          <w:i w:val="0"/>
          <w:iCs w:val="0"/>
          <w:caps w:val="0"/>
          <w:color w:val="000000"/>
          <w:spacing w:val="0"/>
          <w:sz w:val="32"/>
          <w:szCs w:val="32"/>
          <w:shd w:val="clear" w:fill="FFFFFF"/>
        </w:rPr>
        <w:t>第一条</w:t>
      </w:r>
      <w:r>
        <w:rPr>
          <w:rFonts w:hint="eastAsia" w:ascii="黑体" w:hAnsi="黑体" w:eastAsia="黑体" w:cs="黑体"/>
          <w:i w:val="0"/>
          <w:caps w:val="0"/>
          <w:color w:val="333333"/>
          <w:spacing w:val="0"/>
          <w:sz w:val="32"/>
          <w:szCs w:val="32"/>
          <w:shd w:val="clear" w:fill="FFFFFF"/>
          <w:lang w:val="en-US" w:eastAsia="zh-CN"/>
        </w:rPr>
        <w:t>　</w:t>
      </w:r>
      <w:r>
        <w:rPr>
          <w:rFonts w:hint="eastAsia" w:ascii="仿宋_GB2312" w:hAnsi="仿宋_GB2312" w:eastAsia="仿宋_GB2312" w:cs="仿宋_GB2312"/>
          <w:i w:val="0"/>
          <w:iCs w:val="0"/>
          <w:caps w:val="0"/>
          <w:color w:val="000000"/>
          <w:spacing w:val="0"/>
          <w:sz w:val="32"/>
          <w:szCs w:val="32"/>
          <w:shd w:val="clear" w:fill="FFFFFF"/>
        </w:rPr>
        <w:t>为加强农村供水管理，改善农村饮用水条件，保障农村供水安全，促进乡村振兴，根据相关法律、法规，结合本省实际，制定本办法。</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jc w:val="both"/>
        <w:textAlignment w:val="top"/>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　　</w:t>
      </w:r>
      <w:r>
        <w:rPr>
          <w:rFonts w:hint="eastAsia" w:ascii="黑体" w:hAnsi="黑体" w:eastAsia="黑体" w:cs="黑体"/>
          <w:i w:val="0"/>
          <w:iCs w:val="0"/>
          <w:caps w:val="0"/>
          <w:color w:val="000000"/>
          <w:spacing w:val="0"/>
          <w:sz w:val="32"/>
          <w:szCs w:val="32"/>
          <w:shd w:val="clear" w:fill="FFFFFF"/>
        </w:rPr>
        <w:t>第二条</w:t>
      </w:r>
      <w:r>
        <w:rPr>
          <w:rFonts w:hint="eastAsia" w:ascii="黑体" w:hAnsi="黑体" w:eastAsia="黑体" w:cs="黑体"/>
          <w:i w:val="0"/>
          <w:caps w:val="0"/>
          <w:color w:val="333333"/>
          <w:spacing w:val="0"/>
          <w:sz w:val="32"/>
          <w:szCs w:val="32"/>
          <w:shd w:val="clear" w:fill="FFFFFF"/>
          <w:lang w:val="en-US" w:eastAsia="zh-CN"/>
        </w:rPr>
        <w:t>　</w:t>
      </w:r>
      <w:r>
        <w:rPr>
          <w:rFonts w:hint="eastAsia" w:ascii="仿宋_GB2312" w:hAnsi="仿宋_GB2312" w:eastAsia="仿宋_GB2312" w:cs="仿宋_GB2312"/>
          <w:i w:val="0"/>
          <w:iCs w:val="0"/>
          <w:caps w:val="0"/>
          <w:color w:val="000000"/>
          <w:spacing w:val="0"/>
          <w:sz w:val="32"/>
          <w:szCs w:val="32"/>
          <w:shd w:val="clear" w:fill="FFFFFF"/>
        </w:rPr>
        <w:t>本省行政区域内的农村供水、用水及其监督管理活动，适用本办法。</w:t>
      </w:r>
      <w:bookmarkStart w:id="0" w:name="_GoBack"/>
      <w:bookmarkEnd w:id="0"/>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jc w:val="both"/>
        <w:textAlignment w:val="top"/>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　　农业灌溉及其他生产经营用水活动，按照有关法律、法规规定执行。</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jc w:val="both"/>
        <w:textAlignment w:val="top"/>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　　城市供水管网覆盖农村范围内的供水、用水及其相关监督管理活动，适用城市供水管理有关规定。</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jc w:val="both"/>
        <w:textAlignment w:val="top"/>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　　</w:t>
      </w:r>
      <w:r>
        <w:rPr>
          <w:rFonts w:hint="eastAsia" w:ascii="黑体" w:hAnsi="黑体" w:eastAsia="黑体" w:cs="黑体"/>
          <w:i w:val="0"/>
          <w:iCs w:val="0"/>
          <w:caps w:val="0"/>
          <w:color w:val="000000"/>
          <w:spacing w:val="0"/>
          <w:sz w:val="32"/>
          <w:szCs w:val="32"/>
          <w:shd w:val="clear" w:fill="FFFFFF"/>
        </w:rPr>
        <w:t>第三条</w:t>
      </w:r>
      <w:r>
        <w:rPr>
          <w:rFonts w:hint="eastAsia" w:ascii="黑体" w:hAnsi="黑体" w:eastAsia="黑体" w:cs="黑体"/>
          <w:i w:val="0"/>
          <w:caps w:val="0"/>
          <w:color w:val="333333"/>
          <w:spacing w:val="0"/>
          <w:sz w:val="32"/>
          <w:szCs w:val="32"/>
          <w:shd w:val="clear" w:fill="FFFFFF"/>
          <w:lang w:val="en-US" w:eastAsia="zh-CN"/>
        </w:rPr>
        <w:t>　</w:t>
      </w:r>
      <w:r>
        <w:rPr>
          <w:rFonts w:hint="eastAsia" w:ascii="仿宋_GB2312" w:hAnsi="仿宋_GB2312" w:eastAsia="仿宋_GB2312" w:cs="仿宋_GB2312"/>
          <w:i w:val="0"/>
          <w:iCs w:val="0"/>
          <w:caps w:val="0"/>
          <w:color w:val="000000"/>
          <w:spacing w:val="0"/>
          <w:sz w:val="32"/>
          <w:szCs w:val="32"/>
          <w:shd w:val="clear" w:fill="FFFFFF"/>
        </w:rPr>
        <w:t>农村供水应当遵循“政府主导、群众自愿，因地制宜、统筹规划，公共参与、建管并重，规模发展、分散补充，安全卫生、节约用水”的原则，推进标准化建设、公益化服务、市场化运作、专业化管理。</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jc w:val="both"/>
        <w:textAlignment w:val="top"/>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　　</w:t>
      </w:r>
      <w:r>
        <w:rPr>
          <w:rFonts w:hint="eastAsia" w:ascii="黑体" w:hAnsi="黑体" w:eastAsia="黑体" w:cs="黑体"/>
          <w:i w:val="0"/>
          <w:iCs w:val="0"/>
          <w:caps w:val="0"/>
          <w:color w:val="000000"/>
          <w:spacing w:val="0"/>
          <w:sz w:val="32"/>
          <w:szCs w:val="32"/>
          <w:shd w:val="clear" w:fill="FFFFFF"/>
        </w:rPr>
        <w:t>第四条</w:t>
      </w:r>
      <w:r>
        <w:rPr>
          <w:rFonts w:hint="eastAsia" w:ascii="黑体" w:hAnsi="黑体" w:eastAsia="黑体" w:cs="黑体"/>
          <w:i w:val="0"/>
          <w:caps w:val="0"/>
          <w:color w:val="333333"/>
          <w:spacing w:val="0"/>
          <w:sz w:val="32"/>
          <w:szCs w:val="32"/>
          <w:shd w:val="clear" w:fill="FFFFFF"/>
          <w:lang w:val="en-US" w:eastAsia="zh-CN"/>
        </w:rPr>
        <w:t>　</w:t>
      </w:r>
      <w:r>
        <w:rPr>
          <w:rFonts w:hint="eastAsia" w:ascii="仿宋_GB2312" w:hAnsi="仿宋_GB2312" w:eastAsia="仿宋_GB2312" w:cs="仿宋_GB2312"/>
          <w:i w:val="0"/>
          <w:iCs w:val="0"/>
          <w:caps w:val="0"/>
          <w:color w:val="000000"/>
          <w:spacing w:val="0"/>
          <w:sz w:val="32"/>
          <w:szCs w:val="32"/>
          <w:shd w:val="clear" w:fill="FFFFFF"/>
        </w:rPr>
        <w:t>县级以上人民政府应当将农村供水纳入本级国民经济和社会发展规划，建立和完善与经济社会发展水平以及农村供水发展要求相适应的资金投入机制，保障农村供水工程建设、运行维护管理等所需资金，落实有关用地、用电、税收等优惠政策。</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jc w:val="both"/>
        <w:textAlignment w:val="top"/>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　　乡镇人民政府、街道办事处应当按照上级人民政府规定的职责，配合有关部门做好本辖区农村供水工程建设、运行管理等相关工作。</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jc w:val="both"/>
        <w:textAlignment w:val="top"/>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　　村（居）民委员会应当协助乡镇人民政府、街道办事处做好农村供水工程设施保护、水事纠纷调处等工作。</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jc w:val="both"/>
        <w:textAlignment w:val="top"/>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　　</w:t>
      </w:r>
      <w:r>
        <w:rPr>
          <w:rFonts w:hint="eastAsia" w:ascii="黑体" w:hAnsi="黑体" w:eastAsia="黑体" w:cs="黑体"/>
          <w:i w:val="0"/>
          <w:iCs w:val="0"/>
          <w:caps w:val="0"/>
          <w:color w:val="000000"/>
          <w:spacing w:val="0"/>
          <w:sz w:val="32"/>
          <w:szCs w:val="32"/>
          <w:shd w:val="clear" w:fill="FFFFFF"/>
        </w:rPr>
        <w:t>第五条</w:t>
      </w:r>
      <w:r>
        <w:rPr>
          <w:rFonts w:hint="eastAsia" w:ascii="黑体" w:hAnsi="黑体" w:eastAsia="黑体" w:cs="黑体"/>
          <w:i w:val="0"/>
          <w:caps w:val="0"/>
          <w:color w:val="333333"/>
          <w:spacing w:val="0"/>
          <w:sz w:val="32"/>
          <w:szCs w:val="32"/>
          <w:shd w:val="clear" w:fill="FFFFFF"/>
          <w:lang w:val="en-US" w:eastAsia="zh-CN"/>
        </w:rPr>
        <w:t>　</w:t>
      </w:r>
      <w:r>
        <w:rPr>
          <w:rFonts w:hint="eastAsia" w:ascii="仿宋_GB2312" w:hAnsi="仿宋_GB2312" w:eastAsia="仿宋_GB2312" w:cs="仿宋_GB2312"/>
          <w:i w:val="0"/>
          <w:iCs w:val="0"/>
          <w:caps w:val="0"/>
          <w:color w:val="000000"/>
          <w:spacing w:val="0"/>
          <w:sz w:val="32"/>
          <w:szCs w:val="32"/>
          <w:shd w:val="clear" w:fill="FFFFFF"/>
        </w:rPr>
        <w:t>县级以上人民政府水行政主管部门负责本行政区域农村供水的监督管理工作。</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jc w:val="both"/>
        <w:textAlignment w:val="top"/>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　　县级以上人民政府发展改革部门负责农村供水工程建设项目的审批、核准或者备案，按照定价目录制定和调整农村供水价格。</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jc w:val="both"/>
        <w:textAlignment w:val="top"/>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　　县级以上人民政府生态环境主管部门负责组织协调农村供水水源保护区或者保护范围的划定，统筹供水水源地生态环境保护监督管理工作。</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jc w:val="both"/>
        <w:textAlignment w:val="top"/>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　　县级以上人民政府卫生健康主管部门负责农村供水卫生监测和监督工作。</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jc w:val="both"/>
        <w:textAlignment w:val="top"/>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　　县级以上人民政府财政、自然资源、住房城乡建设、农业农村、应急管理、市场监管、乡村振兴、教育等部门应当按照各自职责，做好农村供水管理有关工作。</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jc w:val="both"/>
        <w:textAlignment w:val="top"/>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　　</w:t>
      </w:r>
      <w:r>
        <w:rPr>
          <w:rFonts w:hint="eastAsia" w:ascii="黑体" w:hAnsi="黑体" w:eastAsia="黑体" w:cs="黑体"/>
          <w:i w:val="0"/>
          <w:iCs w:val="0"/>
          <w:caps w:val="0"/>
          <w:color w:val="000000"/>
          <w:spacing w:val="0"/>
          <w:sz w:val="32"/>
          <w:szCs w:val="32"/>
          <w:shd w:val="clear" w:fill="FFFFFF"/>
        </w:rPr>
        <w:t>第六条</w:t>
      </w:r>
      <w:r>
        <w:rPr>
          <w:rFonts w:hint="eastAsia" w:ascii="黑体" w:hAnsi="黑体" w:eastAsia="黑体" w:cs="黑体"/>
          <w:i w:val="0"/>
          <w:caps w:val="0"/>
          <w:color w:val="333333"/>
          <w:spacing w:val="0"/>
          <w:sz w:val="32"/>
          <w:szCs w:val="32"/>
          <w:shd w:val="clear" w:fill="FFFFFF"/>
          <w:lang w:val="en-US" w:eastAsia="zh-CN"/>
        </w:rPr>
        <w:t>　</w:t>
      </w:r>
      <w:r>
        <w:rPr>
          <w:rFonts w:hint="eastAsia" w:ascii="仿宋_GB2312" w:hAnsi="仿宋_GB2312" w:eastAsia="仿宋_GB2312" w:cs="仿宋_GB2312"/>
          <w:i w:val="0"/>
          <w:iCs w:val="0"/>
          <w:caps w:val="0"/>
          <w:color w:val="000000"/>
          <w:spacing w:val="0"/>
          <w:sz w:val="32"/>
          <w:szCs w:val="32"/>
          <w:shd w:val="clear" w:fill="FFFFFF"/>
        </w:rPr>
        <w:t>各级人民政府以及有关部门应当加强水源保护和节约用水宣传，提高农村居民饮水安全和节水意识。</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jc w:val="both"/>
        <w:textAlignment w:val="top"/>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　　鼓励研究、开发、应用和推广农村供水新技术、新工艺、新材料、新设备，提高农村供水工程建设质量和供水水质，促进节约用水。</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jc w:val="both"/>
        <w:textAlignment w:val="top"/>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　　</w:t>
      </w:r>
      <w:r>
        <w:rPr>
          <w:rFonts w:hint="eastAsia" w:ascii="黑体" w:hAnsi="黑体" w:eastAsia="黑体" w:cs="黑体"/>
          <w:i w:val="0"/>
          <w:iCs w:val="0"/>
          <w:caps w:val="0"/>
          <w:color w:val="000000"/>
          <w:spacing w:val="0"/>
          <w:sz w:val="32"/>
          <w:szCs w:val="32"/>
          <w:shd w:val="clear" w:fill="FFFFFF"/>
        </w:rPr>
        <w:t>第七条</w:t>
      </w:r>
      <w:r>
        <w:rPr>
          <w:rFonts w:hint="eastAsia" w:ascii="黑体" w:hAnsi="黑体" w:eastAsia="黑体" w:cs="黑体"/>
          <w:i w:val="0"/>
          <w:caps w:val="0"/>
          <w:color w:val="333333"/>
          <w:spacing w:val="0"/>
          <w:sz w:val="32"/>
          <w:szCs w:val="32"/>
          <w:shd w:val="clear" w:fill="FFFFFF"/>
          <w:lang w:val="en-US" w:eastAsia="zh-CN"/>
        </w:rPr>
        <w:t>　</w:t>
      </w:r>
      <w:r>
        <w:rPr>
          <w:rFonts w:hint="eastAsia" w:ascii="仿宋_GB2312" w:hAnsi="仿宋_GB2312" w:eastAsia="仿宋_GB2312" w:cs="仿宋_GB2312"/>
          <w:i w:val="0"/>
          <w:iCs w:val="0"/>
          <w:caps w:val="0"/>
          <w:color w:val="000000"/>
          <w:spacing w:val="0"/>
          <w:sz w:val="32"/>
          <w:szCs w:val="32"/>
          <w:shd w:val="clear" w:fill="FFFFFF"/>
        </w:rPr>
        <w:t>农村供水工程建设和管理可以采取政府投资、社会投资、农村居民投资投劳等多种形式。</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jc w:val="both"/>
        <w:textAlignment w:val="top"/>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　　鼓励社会资本、单位和个人投资、融资、捐资建设农村供水工程，参与农村供水工程经营管理和运行维护，并依法保障其合法权益。</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jc w:val="both"/>
        <w:textAlignment w:val="top"/>
        <w:rPr>
          <w:rFonts w:hint="eastAsia" w:ascii="仿宋_GB2312" w:hAnsi="仿宋_GB2312" w:eastAsia="仿宋_GB2312" w:cs="仿宋_GB2312"/>
          <w:i w:val="0"/>
          <w:iCs w:val="0"/>
          <w:caps w:val="0"/>
          <w:color w:val="000000"/>
          <w:spacing w:val="0"/>
          <w:sz w:val="32"/>
          <w:szCs w:val="32"/>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jc w:val="center"/>
        <w:textAlignment w:val="top"/>
        <w:rPr>
          <w:rFonts w:hint="eastAsia" w:ascii="黑体" w:hAnsi="黑体" w:eastAsia="黑体" w:cs="黑体"/>
          <w:i w:val="0"/>
          <w:iCs w:val="0"/>
          <w:caps w:val="0"/>
          <w:color w:val="000000"/>
          <w:spacing w:val="0"/>
          <w:sz w:val="32"/>
          <w:szCs w:val="32"/>
        </w:rPr>
      </w:pPr>
      <w:r>
        <w:rPr>
          <w:rFonts w:hint="eastAsia" w:ascii="黑体" w:hAnsi="黑体" w:eastAsia="黑体" w:cs="黑体"/>
          <w:i w:val="0"/>
          <w:iCs w:val="0"/>
          <w:caps w:val="0"/>
          <w:color w:val="000000"/>
          <w:spacing w:val="0"/>
          <w:sz w:val="32"/>
          <w:szCs w:val="32"/>
          <w:shd w:val="clear" w:fill="FFFFFF"/>
        </w:rPr>
        <w:t>第二章</w:t>
      </w:r>
      <w:r>
        <w:rPr>
          <w:rFonts w:hint="eastAsia" w:ascii="黑体" w:hAnsi="黑体" w:eastAsia="黑体" w:cs="黑体"/>
          <w:i w:val="0"/>
          <w:iCs w:val="0"/>
          <w:caps w:val="0"/>
          <w:color w:val="333333"/>
          <w:spacing w:val="0"/>
          <w:sz w:val="32"/>
          <w:szCs w:val="32"/>
          <w:shd w:val="clear" w:fill="FFFFFF"/>
        </w:rPr>
        <w:t>　</w:t>
      </w:r>
      <w:r>
        <w:rPr>
          <w:rFonts w:hint="eastAsia" w:ascii="黑体" w:hAnsi="黑体" w:eastAsia="黑体" w:cs="黑体"/>
          <w:i w:val="0"/>
          <w:iCs w:val="0"/>
          <w:caps w:val="0"/>
          <w:color w:val="000000"/>
          <w:spacing w:val="0"/>
          <w:sz w:val="32"/>
          <w:szCs w:val="32"/>
          <w:shd w:val="clear" w:fill="FFFFFF"/>
        </w:rPr>
        <w:t>规划与建设</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仿宋_GB2312" w:hAnsi="仿宋_GB2312" w:eastAsia="仿宋_GB2312" w:cs="仿宋_GB2312"/>
          <w:i w:val="0"/>
          <w:iCs w:val="0"/>
          <w:caps w:val="0"/>
          <w:color w:val="000000"/>
          <w:spacing w:val="0"/>
          <w:sz w:val="32"/>
          <w:szCs w:val="32"/>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jc w:val="both"/>
        <w:textAlignment w:val="top"/>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　　</w:t>
      </w:r>
      <w:r>
        <w:rPr>
          <w:rFonts w:hint="eastAsia" w:ascii="黑体" w:hAnsi="黑体" w:eastAsia="黑体" w:cs="黑体"/>
          <w:i w:val="0"/>
          <w:iCs w:val="0"/>
          <w:caps w:val="0"/>
          <w:color w:val="000000"/>
          <w:spacing w:val="0"/>
          <w:sz w:val="32"/>
          <w:szCs w:val="32"/>
          <w:shd w:val="clear" w:fill="FFFFFF"/>
        </w:rPr>
        <w:t>第八条</w:t>
      </w:r>
      <w:r>
        <w:rPr>
          <w:rFonts w:hint="eastAsia" w:ascii="黑体" w:hAnsi="黑体" w:eastAsia="黑体" w:cs="黑体"/>
          <w:i w:val="0"/>
          <w:caps w:val="0"/>
          <w:color w:val="333333"/>
          <w:spacing w:val="0"/>
          <w:sz w:val="32"/>
          <w:szCs w:val="32"/>
          <w:shd w:val="clear" w:fill="FFFFFF"/>
          <w:lang w:val="en-US" w:eastAsia="zh-CN"/>
        </w:rPr>
        <w:t>　</w:t>
      </w:r>
      <w:r>
        <w:rPr>
          <w:rFonts w:hint="eastAsia" w:ascii="仿宋_GB2312" w:hAnsi="仿宋_GB2312" w:eastAsia="仿宋_GB2312" w:cs="仿宋_GB2312"/>
          <w:i w:val="0"/>
          <w:iCs w:val="0"/>
          <w:caps w:val="0"/>
          <w:color w:val="000000"/>
          <w:spacing w:val="0"/>
          <w:sz w:val="32"/>
          <w:szCs w:val="32"/>
          <w:shd w:val="clear" w:fill="FFFFFF"/>
        </w:rPr>
        <w:t>县级以上人民政府应当统筹考虑水源条件、城乡供水基础设施分布、农村人口变化、农业发展需要、乡村振兴发展需求、财力水平等因素，合理布局农村供水工程、供水规模，分类推进农村供水发展。</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jc w:val="both"/>
        <w:textAlignment w:val="top"/>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　　有条件的地方可以采取城镇供水管网延伸或者建设跨村、跨乡镇联片集中供水工程等方式发展规模集中供水。</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jc w:val="both"/>
        <w:textAlignment w:val="top"/>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　　鼓励县级以上人民政府根据本行政区域实际情况推进农村供水与污水处理同步规划、同步建设、一体管理。</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jc w:val="both"/>
        <w:textAlignment w:val="top"/>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　　</w:t>
      </w:r>
      <w:r>
        <w:rPr>
          <w:rFonts w:hint="eastAsia" w:ascii="黑体" w:hAnsi="黑体" w:eastAsia="黑体" w:cs="黑体"/>
          <w:i w:val="0"/>
          <w:iCs w:val="0"/>
          <w:caps w:val="0"/>
          <w:color w:val="000000"/>
          <w:spacing w:val="0"/>
          <w:sz w:val="32"/>
          <w:szCs w:val="32"/>
          <w:shd w:val="clear" w:fill="FFFFFF"/>
        </w:rPr>
        <w:t>第九条</w:t>
      </w:r>
      <w:r>
        <w:rPr>
          <w:rFonts w:hint="eastAsia" w:ascii="黑体" w:hAnsi="黑体" w:eastAsia="黑体" w:cs="黑体"/>
          <w:i w:val="0"/>
          <w:caps w:val="0"/>
          <w:color w:val="333333"/>
          <w:spacing w:val="0"/>
          <w:sz w:val="32"/>
          <w:szCs w:val="32"/>
          <w:shd w:val="clear" w:fill="FFFFFF"/>
          <w:lang w:val="en-US" w:eastAsia="zh-CN"/>
        </w:rPr>
        <w:t>　</w:t>
      </w:r>
      <w:r>
        <w:rPr>
          <w:rFonts w:hint="eastAsia" w:ascii="仿宋_GB2312" w:hAnsi="仿宋_GB2312" w:eastAsia="仿宋_GB2312" w:cs="仿宋_GB2312"/>
          <w:i w:val="0"/>
          <w:iCs w:val="0"/>
          <w:caps w:val="0"/>
          <w:color w:val="000000"/>
          <w:spacing w:val="0"/>
          <w:sz w:val="32"/>
          <w:szCs w:val="32"/>
          <w:shd w:val="clear" w:fill="FFFFFF"/>
        </w:rPr>
        <w:t>县级以上人民政府水行政主管部门、发展改革部门应当会同有关部门编制本行政区域农村供水规划，经本级人民政府批准后组织实施，并报上一级人民政府水行政主管部门备案。</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jc w:val="both"/>
        <w:textAlignment w:val="top"/>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　　编制农村供水规划应当进行水资源论证，并与国土空间规划、城市供水规划、村庄规划等有关规划衔接，按照因地制宜、科学规划、突出重点、分步实施的原则，逐步实现城乡供水同质化、集中供水规模化、分散供水标准化、供水排水一体化。</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jc w:val="both"/>
        <w:textAlignment w:val="top"/>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　　经批准的农村供水规划需要调整的，按照原审批程序报经批准。</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jc w:val="both"/>
        <w:textAlignment w:val="top"/>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　　</w:t>
      </w:r>
      <w:r>
        <w:rPr>
          <w:rFonts w:hint="eastAsia" w:ascii="黑体" w:hAnsi="黑体" w:eastAsia="黑体" w:cs="黑体"/>
          <w:i w:val="0"/>
          <w:iCs w:val="0"/>
          <w:caps w:val="0"/>
          <w:color w:val="000000"/>
          <w:spacing w:val="0"/>
          <w:sz w:val="32"/>
          <w:szCs w:val="32"/>
          <w:shd w:val="clear" w:fill="FFFFFF"/>
        </w:rPr>
        <w:t>第十条</w:t>
      </w:r>
      <w:r>
        <w:rPr>
          <w:rFonts w:hint="eastAsia" w:ascii="黑体" w:hAnsi="黑体" w:eastAsia="黑体" w:cs="黑体"/>
          <w:i w:val="0"/>
          <w:caps w:val="0"/>
          <w:color w:val="333333"/>
          <w:spacing w:val="0"/>
          <w:sz w:val="32"/>
          <w:szCs w:val="32"/>
          <w:shd w:val="clear" w:fill="FFFFFF"/>
          <w:lang w:val="en-US" w:eastAsia="zh-CN"/>
        </w:rPr>
        <w:t>　</w:t>
      </w:r>
      <w:r>
        <w:rPr>
          <w:rFonts w:hint="eastAsia" w:ascii="仿宋_GB2312" w:hAnsi="仿宋_GB2312" w:eastAsia="仿宋_GB2312" w:cs="仿宋_GB2312"/>
          <w:i w:val="0"/>
          <w:iCs w:val="0"/>
          <w:caps w:val="0"/>
          <w:color w:val="000000"/>
          <w:spacing w:val="0"/>
          <w:sz w:val="32"/>
          <w:szCs w:val="32"/>
          <w:shd w:val="clear" w:fill="FFFFFF"/>
        </w:rPr>
        <w:t>农村供水工程的勘察、设计、施工、监理等应当符合相关规范、规定和国家技术标准；工程使用的设施设备和管材应当符合国家产品质量标准的要求。</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jc w:val="both"/>
        <w:textAlignment w:val="top"/>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　　</w:t>
      </w:r>
      <w:r>
        <w:rPr>
          <w:rFonts w:hint="eastAsia" w:ascii="黑体" w:hAnsi="黑体" w:eastAsia="黑体" w:cs="黑体"/>
          <w:i w:val="0"/>
          <w:iCs w:val="0"/>
          <w:caps w:val="0"/>
          <w:color w:val="000000"/>
          <w:spacing w:val="0"/>
          <w:sz w:val="32"/>
          <w:szCs w:val="32"/>
          <w:shd w:val="clear" w:fill="FFFFFF"/>
        </w:rPr>
        <w:t>第十一条</w:t>
      </w:r>
      <w:r>
        <w:rPr>
          <w:rFonts w:hint="eastAsia" w:ascii="黑体" w:hAnsi="黑体" w:eastAsia="黑体" w:cs="黑体"/>
          <w:i w:val="0"/>
          <w:caps w:val="0"/>
          <w:color w:val="333333"/>
          <w:spacing w:val="0"/>
          <w:sz w:val="32"/>
          <w:szCs w:val="32"/>
          <w:shd w:val="clear" w:fill="FFFFFF"/>
          <w:lang w:val="en-US" w:eastAsia="zh-CN"/>
        </w:rPr>
        <w:t>　</w:t>
      </w:r>
      <w:r>
        <w:rPr>
          <w:rFonts w:hint="eastAsia" w:ascii="仿宋_GB2312" w:hAnsi="仿宋_GB2312" w:eastAsia="仿宋_GB2312" w:cs="仿宋_GB2312"/>
          <w:i w:val="0"/>
          <w:iCs w:val="0"/>
          <w:caps w:val="0"/>
          <w:color w:val="000000"/>
          <w:spacing w:val="0"/>
          <w:sz w:val="32"/>
          <w:szCs w:val="32"/>
          <w:shd w:val="clear" w:fill="FFFFFF"/>
        </w:rPr>
        <w:t>农村供水工程建成后，建设单位应当依法组织验收，未经验收或者验收不合格的，不得投入使用。</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jc w:val="both"/>
        <w:textAlignment w:val="top"/>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　　建设单位应当在竣工验收合格后30个工作日内与供水单位办理交接手续。</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jc w:val="both"/>
        <w:textAlignment w:val="top"/>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　　对供水工程建设遗留问题和试运行期间发现的问题，相关单位应当限期处理、及时采取补救措施。</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jc w:val="both"/>
        <w:textAlignment w:val="top"/>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　　</w:t>
      </w:r>
      <w:r>
        <w:rPr>
          <w:rFonts w:hint="eastAsia" w:ascii="黑体" w:hAnsi="黑体" w:eastAsia="黑体" w:cs="黑体"/>
          <w:i w:val="0"/>
          <w:iCs w:val="0"/>
          <w:caps w:val="0"/>
          <w:color w:val="000000"/>
          <w:spacing w:val="0"/>
          <w:sz w:val="32"/>
          <w:szCs w:val="32"/>
          <w:shd w:val="clear" w:fill="FFFFFF"/>
        </w:rPr>
        <w:t>第十二条</w:t>
      </w:r>
      <w:r>
        <w:rPr>
          <w:rFonts w:hint="eastAsia" w:ascii="黑体" w:hAnsi="黑体" w:eastAsia="黑体" w:cs="黑体"/>
          <w:i w:val="0"/>
          <w:caps w:val="0"/>
          <w:color w:val="333333"/>
          <w:spacing w:val="0"/>
          <w:sz w:val="32"/>
          <w:szCs w:val="32"/>
          <w:shd w:val="clear" w:fill="FFFFFF"/>
          <w:lang w:val="en-US" w:eastAsia="zh-CN"/>
        </w:rPr>
        <w:t>　</w:t>
      </w:r>
      <w:r>
        <w:rPr>
          <w:rFonts w:hint="eastAsia" w:ascii="仿宋_GB2312" w:hAnsi="仿宋_GB2312" w:eastAsia="仿宋_GB2312" w:cs="仿宋_GB2312"/>
          <w:i w:val="0"/>
          <w:iCs w:val="0"/>
          <w:caps w:val="0"/>
          <w:color w:val="000000"/>
          <w:spacing w:val="0"/>
          <w:sz w:val="32"/>
          <w:szCs w:val="32"/>
          <w:shd w:val="clear" w:fill="FFFFFF"/>
        </w:rPr>
        <w:t>农村集中供水工程与桥梁、铁路、公路、电力、通信、油气管道等公共基础设施交叉工程涉及的改建、补建、安全警示等费用，应当按照谁后建设谁负担的原则，由后建设一方承担。</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jc w:val="both"/>
        <w:textAlignment w:val="top"/>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　　桥梁、铁路、公路、电力、通信、油气管道等工程在建设、施工中造成农村供水设施损坏的，由供水单位组织抢修，所需费用由建设单位承担；造成其他损失的，由建设单位依法赔偿。</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jc w:val="both"/>
        <w:textAlignment w:val="top"/>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　　确因建设需要改装、迁移、拆除、重建农村供水设施的，建设单位应当在工程项目开工前征求农村供水主管部门意见，并及时采取相应的补救措施，所需费用由建设单位承担，造成的损失由建设单位补偿。</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jc w:val="both"/>
        <w:textAlignment w:val="top"/>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　　</w:t>
      </w:r>
      <w:r>
        <w:rPr>
          <w:rFonts w:hint="eastAsia" w:ascii="黑体" w:hAnsi="黑体" w:eastAsia="黑体" w:cs="黑体"/>
          <w:i w:val="0"/>
          <w:iCs w:val="0"/>
          <w:caps w:val="0"/>
          <w:color w:val="000000"/>
          <w:spacing w:val="0"/>
          <w:sz w:val="32"/>
          <w:szCs w:val="32"/>
          <w:shd w:val="clear" w:fill="FFFFFF"/>
        </w:rPr>
        <w:t>第十三条</w:t>
      </w:r>
      <w:r>
        <w:rPr>
          <w:rFonts w:hint="eastAsia" w:ascii="黑体" w:hAnsi="黑体" w:eastAsia="黑体" w:cs="黑体"/>
          <w:i w:val="0"/>
          <w:caps w:val="0"/>
          <w:color w:val="333333"/>
          <w:spacing w:val="0"/>
          <w:sz w:val="32"/>
          <w:szCs w:val="32"/>
          <w:shd w:val="clear" w:fill="FFFFFF"/>
          <w:lang w:val="en-US" w:eastAsia="zh-CN"/>
        </w:rPr>
        <w:t>　</w:t>
      </w:r>
      <w:r>
        <w:rPr>
          <w:rFonts w:hint="eastAsia" w:ascii="仿宋_GB2312" w:hAnsi="仿宋_GB2312" w:eastAsia="仿宋_GB2312" w:cs="仿宋_GB2312"/>
          <w:i w:val="0"/>
          <w:iCs w:val="0"/>
          <w:caps w:val="0"/>
          <w:color w:val="000000"/>
          <w:spacing w:val="0"/>
          <w:sz w:val="32"/>
          <w:szCs w:val="32"/>
          <w:shd w:val="clear" w:fill="FFFFFF"/>
        </w:rPr>
        <w:t>对工程建设标准低、输配水管网和其他供水设施老化、供水水量水质水压不能满足正常供水需要的集中供水工程，县级人民政府应当有计划组织实施改造，巩固提升农村供水保障水平。</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jc w:val="both"/>
        <w:textAlignment w:val="top"/>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　　在集中供水工程不能覆盖的区域，县级、乡镇人民政府（街道办事处）应当根据实际情况，组织相关单位对供水规模小、运行成本高的分散供水工程进行提升改造和维修养护，强化水源保护，保障饮水安全。</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jc w:val="both"/>
        <w:textAlignment w:val="top"/>
        <w:rPr>
          <w:rFonts w:hint="eastAsia" w:ascii="仿宋_GB2312" w:hAnsi="仿宋_GB2312" w:eastAsia="仿宋_GB2312" w:cs="仿宋_GB2312"/>
          <w:i w:val="0"/>
          <w:iCs w:val="0"/>
          <w:caps w:val="0"/>
          <w:color w:val="000000"/>
          <w:spacing w:val="0"/>
          <w:sz w:val="32"/>
          <w:szCs w:val="32"/>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jc w:val="center"/>
        <w:textAlignment w:val="top"/>
        <w:rPr>
          <w:rFonts w:hint="eastAsia" w:ascii="黑体" w:hAnsi="黑体" w:eastAsia="黑体" w:cs="黑体"/>
          <w:i w:val="0"/>
          <w:iCs w:val="0"/>
          <w:caps w:val="0"/>
          <w:color w:val="000000"/>
          <w:spacing w:val="0"/>
          <w:sz w:val="32"/>
          <w:szCs w:val="32"/>
        </w:rPr>
      </w:pPr>
      <w:r>
        <w:rPr>
          <w:rFonts w:hint="eastAsia" w:ascii="黑体" w:hAnsi="黑体" w:eastAsia="黑体" w:cs="黑体"/>
          <w:i w:val="0"/>
          <w:iCs w:val="0"/>
          <w:caps w:val="0"/>
          <w:color w:val="000000"/>
          <w:spacing w:val="0"/>
          <w:sz w:val="32"/>
          <w:szCs w:val="32"/>
          <w:shd w:val="clear" w:fill="FFFFFF"/>
        </w:rPr>
        <w:t>第三章</w:t>
      </w:r>
      <w:r>
        <w:rPr>
          <w:rFonts w:hint="eastAsia" w:ascii="黑体" w:hAnsi="黑体" w:eastAsia="黑体" w:cs="黑体"/>
          <w:i w:val="0"/>
          <w:iCs w:val="0"/>
          <w:caps w:val="0"/>
          <w:color w:val="333333"/>
          <w:spacing w:val="0"/>
          <w:sz w:val="32"/>
          <w:szCs w:val="32"/>
          <w:shd w:val="clear" w:fill="FFFFFF"/>
        </w:rPr>
        <w:t>　</w:t>
      </w:r>
      <w:r>
        <w:rPr>
          <w:rFonts w:hint="eastAsia" w:ascii="黑体" w:hAnsi="黑体" w:eastAsia="黑体" w:cs="黑体"/>
          <w:i w:val="0"/>
          <w:iCs w:val="0"/>
          <w:caps w:val="0"/>
          <w:color w:val="000000"/>
          <w:spacing w:val="0"/>
          <w:sz w:val="32"/>
          <w:szCs w:val="32"/>
          <w:shd w:val="clear" w:fill="FFFFFF"/>
        </w:rPr>
        <w:t>管理与保护</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仿宋_GB2312" w:hAnsi="仿宋_GB2312" w:eastAsia="仿宋_GB2312" w:cs="仿宋_GB2312"/>
          <w:i w:val="0"/>
          <w:iCs w:val="0"/>
          <w:caps w:val="0"/>
          <w:color w:val="000000"/>
          <w:spacing w:val="0"/>
          <w:sz w:val="32"/>
          <w:szCs w:val="32"/>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jc w:val="both"/>
        <w:textAlignment w:val="top"/>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　　</w:t>
      </w:r>
      <w:r>
        <w:rPr>
          <w:rFonts w:hint="eastAsia" w:ascii="黑体" w:hAnsi="黑体" w:eastAsia="黑体" w:cs="黑体"/>
          <w:i w:val="0"/>
          <w:iCs w:val="0"/>
          <w:caps w:val="0"/>
          <w:color w:val="000000"/>
          <w:spacing w:val="0"/>
          <w:sz w:val="32"/>
          <w:szCs w:val="32"/>
          <w:shd w:val="clear" w:fill="FFFFFF"/>
        </w:rPr>
        <w:t>第十四条</w:t>
      </w:r>
      <w:r>
        <w:rPr>
          <w:rFonts w:hint="eastAsia" w:ascii="黑体" w:hAnsi="黑体" w:eastAsia="黑体" w:cs="黑体"/>
          <w:i w:val="0"/>
          <w:caps w:val="0"/>
          <w:color w:val="333333"/>
          <w:spacing w:val="0"/>
          <w:sz w:val="32"/>
          <w:szCs w:val="32"/>
          <w:shd w:val="clear" w:fill="FFFFFF"/>
          <w:lang w:val="en-US" w:eastAsia="zh-CN"/>
        </w:rPr>
        <w:t>　</w:t>
      </w:r>
      <w:r>
        <w:rPr>
          <w:rFonts w:hint="eastAsia" w:ascii="仿宋_GB2312" w:hAnsi="仿宋_GB2312" w:eastAsia="仿宋_GB2312" w:cs="仿宋_GB2312"/>
          <w:i w:val="0"/>
          <w:iCs w:val="0"/>
          <w:caps w:val="0"/>
          <w:color w:val="000000"/>
          <w:spacing w:val="0"/>
          <w:sz w:val="32"/>
          <w:szCs w:val="32"/>
          <w:shd w:val="clear" w:fill="FFFFFF"/>
        </w:rPr>
        <w:t>农村供水工程应当依法明晰产权，确定负责经营管理和运行维护的供水单位。</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jc w:val="both"/>
        <w:textAlignment w:val="top"/>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　　所有权归国家所有的农村供水工程，按照所有权和经营权分离的原则，由县级人民政府依法通过政府购买服务、委托管理、出让经营权等方式确定供水单位；鼓励以县域为单元组建区域性、专业化供水单位，对农村供水工程实行统一经营管理和运行维护。</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jc w:val="both"/>
        <w:textAlignment w:val="top"/>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　　所有权归农村集体经济组织所有的农村供水工程，由农村集体经济组织依法自主决定供水单位。</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jc w:val="both"/>
        <w:textAlignment w:val="top"/>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　　所有权由投资人单独所有或者共同所有的农村供水工程，由投资人确定或者协商确定供水单位。</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jc w:val="both"/>
        <w:textAlignment w:val="top"/>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　　农村供水工程所有权人与供水单位应当依法签订合同，明确双方的权利和义务。</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jc w:val="both"/>
        <w:textAlignment w:val="top"/>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　　</w:t>
      </w:r>
      <w:r>
        <w:rPr>
          <w:rFonts w:hint="eastAsia" w:ascii="黑体" w:hAnsi="黑体" w:eastAsia="黑体" w:cs="黑体"/>
          <w:i w:val="0"/>
          <w:iCs w:val="0"/>
          <w:caps w:val="0"/>
          <w:color w:val="000000"/>
          <w:spacing w:val="0"/>
          <w:sz w:val="32"/>
          <w:szCs w:val="32"/>
          <w:shd w:val="clear" w:fill="FFFFFF"/>
        </w:rPr>
        <w:t>第十五条</w:t>
      </w:r>
      <w:r>
        <w:rPr>
          <w:rFonts w:hint="eastAsia" w:ascii="黑体" w:hAnsi="黑体" w:eastAsia="黑体" w:cs="黑体"/>
          <w:i w:val="0"/>
          <w:caps w:val="0"/>
          <w:color w:val="333333"/>
          <w:spacing w:val="0"/>
          <w:sz w:val="32"/>
          <w:szCs w:val="32"/>
          <w:shd w:val="clear" w:fill="FFFFFF"/>
          <w:lang w:val="en-US" w:eastAsia="zh-CN"/>
        </w:rPr>
        <w:t>　</w:t>
      </w:r>
      <w:r>
        <w:rPr>
          <w:rFonts w:hint="eastAsia" w:ascii="仿宋_GB2312" w:hAnsi="仿宋_GB2312" w:eastAsia="仿宋_GB2312" w:cs="仿宋_GB2312"/>
          <w:i w:val="0"/>
          <w:iCs w:val="0"/>
          <w:caps w:val="0"/>
          <w:color w:val="000000"/>
          <w:spacing w:val="0"/>
          <w:sz w:val="32"/>
          <w:szCs w:val="32"/>
          <w:shd w:val="clear" w:fill="FFFFFF"/>
        </w:rPr>
        <w:t>农村供水工程所有权人或者供水单位应当设立界桩、公告牌等标识，采取人防、物防、技防等措施，确保供水设施安全。</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jc w:val="both"/>
        <w:textAlignment w:val="top"/>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　　</w:t>
      </w:r>
      <w:r>
        <w:rPr>
          <w:rFonts w:hint="eastAsia" w:ascii="黑体" w:hAnsi="黑体" w:eastAsia="黑体" w:cs="黑体"/>
          <w:i w:val="0"/>
          <w:iCs w:val="0"/>
          <w:caps w:val="0"/>
          <w:color w:val="000000"/>
          <w:spacing w:val="0"/>
          <w:sz w:val="32"/>
          <w:szCs w:val="32"/>
          <w:shd w:val="clear" w:fill="FFFFFF"/>
        </w:rPr>
        <w:t>第十六条</w:t>
      </w:r>
      <w:r>
        <w:rPr>
          <w:rFonts w:hint="eastAsia" w:ascii="黑体" w:hAnsi="黑体" w:eastAsia="黑体" w:cs="黑体"/>
          <w:i w:val="0"/>
          <w:caps w:val="0"/>
          <w:color w:val="333333"/>
          <w:spacing w:val="0"/>
          <w:sz w:val="32"/>
          <w:szCs w:val="32"/>
          <w:shd w:val="clear" w:fill="FFFFFF"/>
          <w:lang w:val="en-US" w:eastAsia="zh-CN"/>
        </w:rPr>
        <w:t>　</w:t>
      </w:r>
      <w:r>
        <w:rPr>
          <w:rFonts w:hint="eastAsia" w:ascii="仿宋_GB2312" w:hAnsi="仿宋_GB2312" w:eastAsia="仿宋_GB2312" w:cs="仿宋_GB2312"/>
          <w:i w:val="0"/>
          <w:iCs w:val="0"/>
          <w:caps w:val="0"/>
          <w:color w:val="000000"/>
          <w:spacing w:val="0"/>
          <w:sz w:val="32"/>
          <w:szCs w:val="32"/>
          <w:shd w:val="clear" w:fill="FFFFFF"/>
        </w:rPr>
        <w:t>在供水管道及其附属设施的上下或者两侧埋设其他地下管线的，应当符合相关规范、规定和国家技术标准，并遵守管线工程规划和施工管理的有关规定。</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jc w:val="both"/>
        <w:textAlignment w:val="top"/>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　　</w:t>
      </w:r>
      <w:r>
        <w:rPr>
          <w:rFonts w:hint="eastAsia" w:ascii="黑体" w:hAnsi="黑体" w:eastAsia="黑体" w:cs="黑体"/>
          <w:i w:val="0"/>
          <w:iCs w:val="0"/>
          <w:caps w:val="0"/>
          <w:color w:val="000000"/>
          <w:spacing w:val="0"/>
          <w:sz w:val="32"/>
          <w:szCs w:val="32"/>
          <w:shd w:val="clear" w:fill="FFFFFF"/>
        </w:rPr>
        <w:t>第十七条</w:t>
      </w:r>
      <w:r>
        <w:rPr>
          <w:rFonts w:hint="eastAsia" w:ascii="黑体" w:hAnsi="黑体" w:eastAsia="黑体" w:cs="黑体"/>
          <w:i w:val="0"/>
          <w:caps w:val="0"/>
          <w:color w:val="333333"/>
          <w:spacing w:val="0"/>
          <w:sz w:val="32"/>
          <w:szCs w:val="32"/>
          <w:shd w:val="clear" w:fill="FFFFFF"/>
          <w:lang w:val="en-US" w:eastAsia="zh-CN"/>
        </w:rPr>
        <w:t>　</w:t>
      </w:r>
      <w:r>
        <w:rPr>
          <w:rFonts w:hint="eastAsia" w:ascii="仿宋_GB2312" w:hAnsi="仿宋_GB2312" w:eastAsia="仿宋_GB2312" w:cs="仿宋_GB2312"/>
          <w:i w:val="0"/>
          <w:iCs w:val="0"/>
          <w:caps w:val="0"/>
          <w:color w:val="000000"/>
          <w:spacing w:val="0"/>
          <w:sz w:val="32"/>
          <w:szCs w:val="32"/>
          <w:shd w:val="clear" w:fill="FFFFFF"/>
        </w:rPr>
        <w:t>禁止在农村集中供水管道上直接装泵抽水或者安装影响正常供水的其他设施。禁止生产或者使用有毒、有害物质的单位将其生产、使用的用水管网与农村供水管网直接连接。</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jc w:val="both"/>
        <w:textAlignment w:val="top"/>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　　</w:t>
      </w:r>
      <w:r>
        <w:rPr>
          <w:rFonts w:hint="eastAsia" w:ascii="黑体" w:hAnsi="黑体" w:eastAsia="黑体" w:cs="黑体"/>
          <w:i w:val="0"/>
          <w:iCs w:val="0"/>
          <w:caps w:val="0"/>
          <w:color w:val="000000"/>
          <w:spacing w:val="0"/>
          <w:sz w:val="32"/>
          <w:szCs w:val="32"/>
          <w:shd w:val="clear" w:fill="FFFFFF"/>
        </w:rPr>
        <w:t>第十八条</w:t>
      </w:r>
      <w:r>
        <w:rPr>
          <w:rFonts w:hint="eastAsia" w:ascii="黑体" w:hAnsi="黑体" w:eastAsia="黑体" w:cs="黑体"/>
          <w:i w:val="0"/>
          <w:caps w:val="0"/>
          <w:color w:val="333333"/>
          <w:spacing w:val="0"/>
          <w:sz w:val="32"/>
          <w:szCs w:val="32"/>
          <w:shd w:val="clear" w:fill="FFFFFF"/>
          <w:lang w:val="en-US" w:eastAsia="zh-CN"/>
        </w:rPr>
        <w:t>　</w:t>
      </w:r>
      <w:r>
        <w:rPr>
          <w:rFonts w:hint="eastAsia" w:ascii="仿宋_GB2312" w:hAnsi="仿宋_GB2312" w:eastAsia="仿宋_GB2312" w:cs="仿宋_GB2312"/>
          <w:i w:val="0"/>
          <w:iCs w:val="0"/>
          <w:caps w:val="0"/>
          <w:color w:val="000000"/>
          <w:spacing w:val="0"/>
          <w:sz w:val="32"/>
          <w:szCs w:val="32"/>
          <w:shd w:val="clear" w:fill="FFFFFF"/>
        </w:rPr>
        <w:t>供水单位应当按照国家和本省相关规定建立健全安全生产责任制和工程养护制度，加强对农村供水工程设施的监测、检查、维修和养护，确保工程安全运行。</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jc w:val="both"/>
        <w:textAlignment w:val="top"/>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　　</w:t>
      </w:r>
      <w:r>
        <w:rPr>
          <w:rFonts w:hint="eastAsia" w:ascii="黑体" w:hAnsi="黑体" w:eastAsia="黑体" w:cs="黑体"/>
          <w:i w:val="0"/>
          <w:iCs w:val="0"/>
          <w:caps w:val="0"/>
          <w:color w:val="000000"/>
          <w:spacing w:val="0"/>
          <w:sz w:val="32"/>
          <w:szCs w:val="32"/>
          <w:shd w:val="clear" w:fill="FFFFFF"/>
        </w:rPr>
        <w:t>第十九条</w:t>
      </w:r>
      <w:r>
        <w:rPr>
          <w:rFonts w:hint="eastAsia" w:ascii="黑体" w:hAnsi="黑体" w:eastAsia="黑体" w:cs="黑体"/>
          <w:i w:val="0"/>
          <w:caps w:val="0"/>
          <w:color w:val="333333"/>
          <w:spacing w:val="0"/>
          <w:sz w:val="32"/>
          <w:szCs w:val="32"/>
          <w:shd w:val="clear" w:fill="FFFFFF"/>
          <w:lang w:val="en-US" w:eastAsia="zh-CN"/>
        </w:rPr>
        <w:t>　</w:t>
      </w:r>
      <w:r>
        <w:rPr>
          <w:rFonts w:hint="eastAsia" w:ascii="仿宋_GB2312" w:hAnsi="仿宋_GB2312" w:eastAsia="仿宋_GB2312" w:cs="仿宋_GB2312"/>
          <w:i w:val="0"/>
          <w:iCs w:val="0"/>
          <w:caps w:val="0"/>
          <w:color w:val="000000"/>
          <w:spacing w:val="0"/>
          <w:sz w:val="32"/>
          <w:szCs w:val="32"/>
          <w:shd w:val="clear" w:fill="FFFFFF"/>
        </w:rPr>
        <w:t>县级以上人民政府应当推进农村供水工程管理信息化、智慧化，运用远程监控、在线监测、实时预警等技术手段实现智慧监管，保障农村供水工程安全运行。</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jc w:val="both"/>
        <w:textAlignment w:val="top"/>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　　</w:t>
      </w:r>
      <w:r>
        <w:rPr>
          <w:rFonts w:hint="eastAsia" w:ascii="黑体" w:hAnsi="黑体" w:eastAsia="黑体" w:cs="黑体"/>
          <w:i w:val="0"/>
          <w:iCs w:val="0"/>
          <w:caps w:val="0"/>
          <w:color w:val="000000"/>
          <w:spacing w:val="0"/>
          <w:sz w:val="32"/>
          <w:szCs w:val="32"/>
          <w:shd w:val="clear" w:fill="FFFFFF"/>
        </w:rPr>
        <w:t>第二十条</w:t>
      </w:r>
      <w:r>
        <w:rPr>
          <w:rFonts w:hint="eastAsia" w:ascii="黑体" w:hAnsi="黑体" w:eastAsia="黑体" w:cs="黑体"/>
          <w:i w:val="0"/>
          <w:caps w:val="0"/>
          <w:color w:val="333333"/>
          <w:spacing w:val="0"/>
          <w:sz w:val="32"/>
          <w:szCs w:val="32"/>
          <w:shd w:val="clear" w:fill="FFFFFF"/>
          <w:lang w:val="en-US" w:eastAsia="zh-CN"/>
        </w:rPr>
        <w:t>　</w:t>
      </w:r>
      <w:r>
        <w:rPr>
          <w:rFonts w:hint="eastAsia" w:ascii="仿宋_GB2312" w:hAnsi="仿宋_GB2312" w:eastAsia="仿宋_GB2312" w:cs="仿宋_GB2312"/>
          <w:i w:val="0"/>
          <w:iCs w:val="0"/>
          <w:caps w:val="0"/>
          <w:color w:val="000000"/>
          <w:spacing w:val="0"/>
          <w:sz w:val="32"/>
          <w:szCs w:val="32"/>
          <w:shd w:val="clear" w:fill="FFFFFF"/>
        </w:rPr>
        <w:t>县级人民政府可以按照确有必要、按需设岗、人岗相宜的原则，统筹利用现有公益性岗位，健全农村供水巡查制度，配备和充实农村供水工程管水员队伍，开展水源、供水设施巡查、防护等工作。</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jc w:val="both"/>
        <w:textAlignment w:val="top"/>
        <w:rPr>
          <w:rFonts w:hint="eastAsia" w:ascii="仿宋_GB2312" w:hAnsi="仿宋_GB2312" w:eastAsia="仿宋_GB2312" w:cs="仿宋_GB2312"/>
          <w:i w:val="0"/>
          <w:iCs w:val="0"/>
          <w:caps w:val="0"/>
          <w:color w:val="000000"/>
          <w:spacing w:val="0"/>
          <w:sz w:val="32"/>
          <w:szCs w:val="32"/>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jc w:val="center"/>
        <w:textAlignment w:val="top"/>
        <w:rPr>
          <w:rFonts w:hint="eastAsia" w:ascii="黑体" w:hAnsi="黑体" w:eastAsia="黑体" w:cs="黑体"/>
          <w:i w:val="0"/>
          <w:iCs w:val="0"/>
          <w:caps w:val="0"/>
          <w:color w:val="000000"/>
          <w:spacing w:val="0"/>
          <w:sz w:val="32"/>
          <w:szCs w:val="32"/>
        </w:rPr>
      </w:pPr>
      <w:r>
        <w:rPr>
          <w:rFonts w:hint="eastAsia" w:ascii="黑体" w:hAnsi="黑体" w:eastAsia="黑体" w:cs="黑体"/>
          <w:i w:val="0"/>
          <w:iCs w:val="0"/>
          <w:caps w:val="0"/>
          <w:color w:val="000000"/>
          <w:spacing w:val="0"/>
          <w:sz w:val="32"/>
          <w:szCs w:val="32"/>
          <w:shd w:val="clear" w:fill="FFFFFF"/>
        </w:rPr>
        <w:t>第四章</w:t>
      </w:r>
      <w:r>
        <w:rPr>
          <w:rFonts w:hint="eastAsia" w:ascii="黑体" w:hAnsi="黑体" w:eastAsia="黑体" w:cs="黑体"/>
          <w:i w:val="0"/>
          <w:iCs w:val="0"/>
          <w:caps w:val="0"/>
          <w:color w:val="333333"/>
          <w:spacing w:val="0"/>
          <w:sz w:val="32"/>
          <w:szCs w:val="32"/>
          <w:shd w:val="clear" w:fill="FFFFFF"/>
        </w:rPr>
        <w:t>　</w:t>
      </w:r>
      <w:r>
        <w:rPr>
          <w:rFonts w:hint="eastAsia" w:ascii="黑体" w:hAnsi="黑体" w:eastAsia="黑体" w:cs="黑体"/>
          <w:i w:val="0"/>
          <w:iCs w:val="0"/>
          <w:caps w:val="0"/>
          <w:color w:val="000000"/>
          <w:spacing w:val="0"/>
          <w:sz w:val="32"/>
          <w:szCs w:val="32"/>
          <w:shd w:val="clear" w:fill="FFFFFF"/>
        </w:rPr>
        <w:t>水源与水质</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黑体" w:hAnsi="黑体" w:eastAsia="黑体" w:cs="黑体"/>
          <w:i w:val="0"/>
          <w:iCs w:val="0"/>
          <w:caps w:val="0"/>
          <w:color w:val="000000"/>
          <w:spacing w:val="0"/>
          <w:sz w:val="32"/>
          <w:szCs w:val="32"/>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jc w:val="both"/>
        <w:textAlignment w:val="top"/>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　　</w:t>
      </w:r>
      <w:r>
        <w:rPr>
          <w:rFonts w:hint="eastAsia" w:ascii="黑体" w:hAnsi="黑体" w:eastAsia="黑体" w:cs="黑体"/>
          <w:i w:val="0"/>
          <w:iCs w:val="0"/>
          <w:caps w:val="0"/>
          <w:color w:val="000000"/>
          <w:spacing w:val="0"/>
          <w:sz w:val="32"/>
          <w:szCs w:val="32"/>
          <w:shd w:val="clear" w:fill="FFFFFF"/>
        </w:rPr>
        <w:t>第二十一条</w:t>
      </w:r>
      <w:r>
        <w:rPr>
          <w:rFonts w:hint="eastAsia" w:ascii="黑体" w:hAnsi="黑体" w:eastAsia="黑体" w:cs="黑体"/>
          <w:i w:val="0"/>
          <w:caps w:val="0"/>
          <w:color w:val="333333"/>
          <w:spacing w:val="0"/>
          <w:sz w:val="32"/>
          <w:szCs w:val="32"/>
          <w:shd w:val="clear" w:fill="FFFFFF"/>
          <w:lang w:val="en-US" w:eastAsia="zh-CN"/>
        </w:rPr>
        <w:t>　</w:t>
      </w:r>
      <w:r>
        <w:rPr>
          <w:rFonts w:hint="eastAsia" w:ascii="仿宋_GB2312" w:hAnsi="仿宋_GB2312" w:eastAsia="仿宋_GB2312" w:cs="仿宋_GB2312"/>
          <w:i w:val="0"/>
          <w:iCs w:val="0"/>
          <w:caps w:val="0"/>
          <w:color w:val="000000"/>
          <w:spacing w:val="0"/>
          <w:sz w:val="32"/>
          <w:szCs w:val="32"/>
          <w:shd w:val="clear" w:fill="FFFFFF"/>
        </w:rPr>
        <w:t>县级以上人民政府应当组织有关部门开展农村供水水源普查和环境状况调查工作，按照水量充足、水质优良、风险可控的原则，统筹规划、优水优用，科学确定供水水源。</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jc w:val="both"/>
        <w:textAlignment w:val="top"/>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　　县级以上人民政府水行政主管部门应当加强水源调度和优化配置，优先利用地表水、科学配置外调水、合理取用地下水，提高农村供水稳定性。</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jc w:val="both"/>
        <w:textAlignment w:val="top"/>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　　在农村供水水源不稳定地区，因地制宜建设稳定可靠的农村集中供水水源工程。</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jc w:val="both"/>
        <w:textAlignment w:val="top"/>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　　规模化农村供水工程应当配置应急或者备用水源。</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jc w:val="both"/>
        <w:textAlignment w:val="top"/>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　　</w:t>
      </w:r>
      <w:r>
        <w:rPr>
          <w:rFonts w:hint="eastAsia" w:ascii="黑体" w:hAnsi="黑体" w:eastAsia="黑体" w:cs="黑体"/>
          <w:i w:val="0"/>
          <w:iCs w:val="0"/>
          <w:caps w:val="0"/>
          <w:color w:val="000000"/>
          <w:spacing w:val="0"/>
          <w:sz w:val="32"/>
          <w:szCs w:val="32"/>
          <w:shd w:val="clear" w:fill="FFFFFF"/>
        </w:rPr>
        <w:t>第二十二条</w:t>
      </w:r>
      <w:r>
        <w:rPr>
          <w:rFonts w:hint="eastAsia" w:ascii="黑体" w:hAnsi="黑体" w:eastAsia="黑体" w:cs="黑体"/>
          <w:i w:val="0"/>
          <w:caps w:val="0"/>
          <w:color w:val="333333"/>
          <w:spacing w:val="0"/>
          <w:sz w:val="32"/>
          <w:szCs w:val="32"/>
          <w:shd w:val="clear" w:fill="FFFFFF"/>
          <w:lang w:val="en-US" w:eastAsia="zh-CN"/>
        </w:rPr>
        <w:t>　</w:t>
      </w:r>
      <w:r>
        <w:rPr>
          <w:rFonts w:hint="eastAsia" w:ascii="仿宋_GB2312" w:hAnsi="仿宋_GB2312" w:eastAsia="仿宋_GB2312" w:cs="仿宋_GB2312"/>
          <w:i w:val="0"/>
          <w:iCs w:val="0"/>
          <w:caps w:val="0"/>
          <w:color w:val="000000"/>
          <w:spacing w:val="0"/>
          <w:sz w:val="32"/>
          <w:szCs w:val="32"/>
          <w:shd w:val="clear" w:fill="FFFFFF"/>
        </w:rPr>
        <w:t>县级以上人民政府应当根据饮用水水源地的不同情况，分类依法划定水源保护区或者水源保护范围，并设置保护标志，明确保护措施，确保饮用水安全。</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jc w:val="both"/>
        <w:textAlignment w:val="top"/>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　　</w:t>
      </w:r>
      <w:r>
        <w:rPr>
          <w:rFonts w:hint="eastAsia" w:ascii="黑体" w:hAnsi="黑体" w:eastAsia="黑体" w:cs="黑体"/>
          <w:i w:val="0"/>
          <w:iCs w:val="0"/>
          <w:caps w:val="0"/>
          <w:color w:val="000000"/>
          <w:spacing w:val="0"/>
          <w:sz w:val="32"/>
          <w:szCs w:val="32"/>
          <w:shd w:val="clear" w:fill="FFFFFF"/>
        </w:rPr>
        <w:t>第二十三条</w:t>
      </w:r>
      <w:r>
        <w:rPr>
          <w:rFonts w:hint="eastAsia" w:ascii="黑体" w:hAnsi="黑体" w:eastAsia="黑体" w:cs="黑体"/>
          <w:i w:val="0"/>
          <w:caps w:val="0"/>
          <w:color w:val="333333"/>
          <w:spacing w:val="0"/>
          <w:sz w:val="32"/>
          <w:szCs w:val="32"/>
          <w:shd w:val="clear" w:fill="FFFFFF"/>
          <w:lang w:val="en-US" w:eastAsia="zh-CN"/>
        </w:rPr>
        <w:t>　</w:t>
      </w:r>
      <w:r>
        <w:rPr>
          <w:rFonts w:hint="eastAsia" w:ascii="仿宋_GB2312" w:hAnsi="仿宋_GB2312" w:eastAsia="仿宋_GB2312" w:cs="仿宋_GB2312"/>
          <w:i w:val="0"/>
          <w:iCs w:val="0"/>
          <w:caps w:val="0"/>
          <w:color w:val="000000"/>
          <w:spacing w:val="0"/>
          <w:sz w:val="32"/>
          <w:szCs w:val="32"/>
          <w:shd w:val="clear" w:fill="FFFFFF"/>
        </w:rPr>
        <w:t>农村饮用水水源地保护范围内禁止从事下列活动：</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jc w:val="both"/>
        <w:textAlignment w:val="top"/>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　　（一）清洗装贮过有毒有害物品的容器、车辆;</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jc w:val="both"/>
        <w:textAlignment w:val="top"/>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　　（二）向水体倾倒、排放生活垃圾和污水以及其他可能污染水体的物质;</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jc w:val="both"/>
        <w:textAlignment w:val="top"/>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　　（三）堆放生活垃圾、工业废料等有毒有害物;</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jc w:val="both"/>
        <w:textAlignment w:val="top"/>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　　（四）使用含磷洗涤剂、化肥、农药；</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jc w:val="both"/>
        <w:textAlignment w:val="top"/>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　　（五）使用高毒、高残留农药;</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jc w:val="both"/>
        <w:textAlignment w:val="top"/>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　　（六）设置畜禽养殖场、肥料堆积场、厕所;</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jc w:val="both"/>
        <w:textAlignment w:val="top"/>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　　（七）人工投放饲料进行水产养殖;</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jc w:val="both"/>
        <w:textAlignment w:val="top"/>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　　（八）法律、法规规定的其他可能污染饮用水水源的活动。</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jc w:val="both"/>
        <w:textAlignment w:val="top"/>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　　农村饮用水水源保护区内的禁止活动按照有关法律、法规规定执行。</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jc w:val="both"/>
        <w:textAlignment w:val="top"/>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　</w:t>
      </w:r>
      <w:r>
        <w:rPr>
          <w:rFonts w:hint="eastAsia" w:ascii="黑体" w:hAnsi="黑体" w:eastAsia="黑体" w:cs="黑体"/>
          <w:i w:val="0"/>
          <w:iCs w:val="0"/>
          <w:caps w:val="0"/>
          <w:color w:val="000000"/>
          <w:spacing w:val="0"/>
          <w:sz w:val="32"/>
          <w:szCs w:val="32"/>
          <w:shd w:val="clear" w:fill="FFFFFF"/>
        </w:rPr>
        <w:t>　第二十四条</w:t>
      </w:r>
      <w:r>
        <w:rPr>
          <w:rFonts w:hint="eastAsia" w:ascii="黑体" w:hAnsi="黑体" w:eastAsia="黑体" w:cs="黑体"/>
          <w:i w:val="0"/>
          <w:caps w:val="0"/>
          <w:color w:val="333333"/>
          <w:spacing w:val="0"/>
          <w:sz w:val="32"/>
          <w:szCs w:val="32"/>
          <w:shd w:val="clear" w:fill="FFFFFF"/>
          <w:lang w:val="en-US" w:eastAsia="zh-CN"/>
        </w:rPr>
        <w:t>　</w:t>
      </w:r>
      <w:r>
        <w:rPr>
          <w:rFonts w:hint="eastAsia" w:ascii="仿宋_GB2312" w:hAnsi="仿宋_GB2312" w:eastAsia="仿宋_GB2312" w:cs="仿宋_GB2312"/>
          <w:i w:val="0"/>
          <w:iCs w:val="0"/>
          <w:caps w:val="0"/>
          <w:color w:val="000000"/>
          <w:spacing w:val="0"/>
          <w:sz w:val="32"/>
          <w:szCs w:val="32"/>
          <w:shd w:val="clear" w:fill="FFFFFF"/>
        </w:rPr>
        <w:t>县级人民政府生态环境主管部门应当定期组织对农村饮用水水源保护区、地下水饮用水源地的补给区以及供水单位周边区域的环境状况和污染风险进行调查评估，筛查可能存在的污染风险因素，并采取相应的防范措施。</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jc w:val="both"/>
        <w:textAlignment w:val="top"/>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　　</w:t>
      </w:r>
      <w:r>
        <w:rPr>
          <w:rFonts w:hint="eastAsia" w:ascii="黑体" w:hAnsi="黑体" w:eastAsia="黑体" w:cs="黑体"/>
          <w:i w:val="0"/>
          <w:iCs w:val="0"/>
          <w:caps w:val="0"/>
          <w:color w:val="000000"/>
          <w:spacing w:val="0"/>
          <w:sz w:val="32"/>
          <w:szCs w:val="32"/>
          <w:shd w:val="clear" w:fill="FFFFFF"/>
        </w:rPr>
        <w:t>第二十五条</w:t>
      </w:r>
      <w:r>
        <w:rPr>
          <w:rFonts w:hint="eastAsia" w:ascii="黑体" w:hAnsi="黑体" w:eastAsia="黑体" w:cs="黑体"/>
          <w:i w:val="0"/>
          <w:caps w:val="0"/>
          <w:color w:val="333333"/>
          <w:spacing w:val="0"/>
          <w:sz w:val="32"/>
          <w:szCs w:val="32"/>
          <w:shd w:val="clear" w:fill="FFFFFF"/>
          <w:lang w:val="en-US" w:eastAsia="zh-CN"/>
        </w:rPr>
        <w:t>　</w:t>
      </w:r>
      <w:r>
        <w:rPr>
          <w:rFonts w:hint="eastAsia" w:ascii="仿宋_GB2312" w:hAnsi="仿宋_GB2312" w:eastAsia="仿宋_GB2312" w:cs="仿宋_GB2312"/>
          <w:i w:val="0"/>
          <w:iCs w:val="0"/>
          <w:caps w:val="0"/>
          <w:color w:val="000000"/>
          <w:spacing w:val="0"/>
          <w:sz w:val="32"/>
          <w:szCs w:val="32"/>
          <w:shd w:val="clear" w:fill="FFFFFF"/>
        </w:rPr>
        <w:t>供水单位应当建立健全水质检测制度，按照规定的项目、频次和方法开展水质检测，并向县级人民政府水行政、卫生健康主管部门报送检测结果；发现供水水质发生重大异常变化的，应当立即采取相应措施并及时报告有关部门。</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jc w:val="both"/>
        <w:textAlignment w:val="top"/>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　　</w:t>
      </w:r>
      <w:r>
        <w:rPr>
          <w:rFonts w:hint="eastAsia" w:ascii="黑体" w:hAnsi="黑体" w:eastAsia="黑体" w:cs="黑体"/>
          <w:i w:val="0"/>
          <w:iCs w:val="0"/>
          <w:caps w:val="0"/>
          <w:color w:val="000000"/>
          <w:spacing w:val="0"/>
          <w:sz w:val="32"/>
          <w:szCs w:val="32"/>
          <w:shd w:val="clear" w:fill="FFFFFF"/>
        </w:rPr>
        <w:t>第二十六条</w:t>
      </w:r>
      <w:r>
        <w:rPr>
          <w:rFonts w:hint="eastAsia" w:ascii="黑体" w:hAnsi="黑体" w:eastAsia="黑体" w:cs="黑体"/>
          <w:i w:val="0"/>
          <w:caps w:val="0"/>
          <w:color w:val="333333"/>
          <w:spacing w:val="0"/>
          <w:sz w:val="32"/>
          <w:szCs w:val="32"/>
          <w:shd w:val="clear" w:fill="FFFFFF"/>
          <w:lang w:val="en-US" w:eastAsia="zh-CN"/>
        </w:rPr>
        <w:t>　</w:t>
      </w:r>
      <w:r>
        <w:rPr>
          <w:rFonts w:hint="eastAsia" w:ascii="仿宋_GB2312" w:hAnsi="仿宋_GB2312" w:eastAsia="仿宋_GB2312" w:cs="仿宋_GB2312"/>
          <w:i w:val="0"/>
          <w:iCs w:val="0"/>
          <w:caps w:val="0"/>
          <w:color w:val="000000"/>
          <w:spacing w:val="0"/>
          <w:sz w:val="32"/>
          <w:szCs w:val="32"/>
          <w:shd w:val="clear" w:fill="FFFFFF"/>
        </w:rPr>
        <w:t>县级人民政府卫生健康主管部门应当定期组织有关检测机构对农村饮用水供水水源、出厂水和末梢水的水质进行化验、检测并公布结果，保障农村饮用水水质符合国家生活饮用水卫生标准。</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jc w:val="both"/>
        <w:textAlignment w:val="top"/>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　　县级人民政府卫生健康主管部门以及有关检测机构依法履行供水水质检测职责时，供水单位应当予以配合。</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jc w:val="both"/>
        <w:textAlignment w:val="top"/>
        <w:rPr>
          <w:rFonts w:hint="eastAsia" w:ascii="仿宋_GB2312" w:hAnsi="仿宋_GB2312" w:eastAsia="仿宋_GB2312" w:cs="仿宋_GB2312"/>
          <w:i w:val="0"/>
          <w:iCs w:val="0"/>
          <w:caps w:val="0"/>
          <w:color w:val="000000"/>
          <w:spacing w:val="0"/>
          <w:sz w:val="32"/>
          <w:szCs w:val="32"/>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jc w:val="center"/>
        <w:textAlignment w:val="top"/>
        <w:rPr>
          <w:rFonts w:hint="eastAsia" w:ascii="黑体" w:hAnsi="黑体" w:eastAsia="黑体" w:cs="黑体"/>
          <w:i w:val="0"/>
          <w:iCs w:val="0"/>
          <w:caps w:val="0"/>
          <w:color w:val="000000"/>
          <w:spacing w:val="0"/>
          <w:sz w:val="32"/>
          <w:szCs w:val="32"/>
        </w:rPr>
      </w:pPr>
      <w:r>
        <w:rPr>
          <w:rFonts w:hint="eastAsia" w:ascii="黑体" w:hAnsi="黑体" w:eastAsia="黑体" w:cs="黑体"/>
          <w:i w:val="0"/>
          <w:iCs w:val="0"/>
          <w:caps w:val="0"/>
          <w:color w:val="000000"/>
          <w:spacing w:val="0"/>
          <w:sz w:val="32"/>
          <w:szCs w:val="32"/>
          <w:shd w:val="clear" w:fill="FFFFFF"/>
        </w:rPr>
        <w:t>第五章</w:t>
      </w:r>
      <w:r>
        <w:rPr>
          <w:rFonts w:hint="eastAsia" w:ascii="黑体" w:hAnsi="黑体" w:eastAsia="黑体" w:cs="黑体"/>
          <w:i w:val="0"/>
          <w:iCs w:val="0"/>
          <w:caps w:val="0"/>
          <w:color w:val="333333"/>
          <w:spacing w:val="0"/>
          <w:sz w:val="32"/>
          <w:szCs w:val="32"/>
          <w:shd w:val="clear" w:fill="FFFFFF"/>
        </w:rPr>
        <w:t>　</w:t>
      </w:r>
      <w:r>
        <w:rPr>
          <w:rFonts w:hint="eastAsia" w:ascii="黑体" w:hAnsi="黑体" w:eastAsia="黑体" w:cs="黑体"/>
          <w:i w:val="0"/>
          <w:iCs w:val="0"/>
          <w:caps w:val="0"/>
          <w:color w:val="000000"/>
          <w:spacing w:val="0"/>
          <w:sz w:val="32"/>
          <w:szCs w:val="32"/>
          <w:shd w:val="clear" w:fill="FFFFFF"/>
        </w:rPr>
        <w:t>供水与用水</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仿宋_GB2312" w:hAnsi="仿宋_GB2312" w:eastAsia="仿宋_GB2312" w:cs="仿宋_GB2312"/>
          <w:i w:val="0"/>
          <w:iCs w:val="0"/>
          <w:caps w:val="0"/>
          <w:color w:val="000000"/>
          <w:spacing w:val="0"/>
          <w:sz w:val="32"/>
          <w:szCs w:val="32"/>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jc w:val="both"/>
        <w:textAlignment w:val="top"/>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　</w:t>
      </w:r>
      <w:r>
        <w:rPr>
          <w:rFonts w:hint="eastAsia" w:ascii="黑体" w:hAnsi="黑体" w:eastAsia="黑体" w:cs="黑体"/>
          <w:i w:val="0"/>
          <w:iCs w:val="0"/>
          <w:caps w:val="0"/>
          <w:color w:val="000000"/>
          <w:spacing w:val="0"/>
          <w:sz w:val="32"/>
          <w:szCs w:val="32"/>
          <w:shd w:val="clear" w:fill="FFFFFF"/>
        </w:rPr>
        <w:t>　第二十七条</w:t>
      </w:r>
      <w:r>
        <w:rPr>
          <w:rFonts w:hint="eastAsia" w:ascii="黑体" w:hAnsi="黑体" w:eastAsia="黑体" w:cs="黑体"/>
          <w:i w:val="0"/>
          <w:caps w:val="0"/>
          <w:color w:val="333333"/>
          <w:spacing w:val="0"/>
          <w:sz w:val="32"/>
          <w:szCs w:val="32"/>
          <w:shd w:val="clear" w:fill="FFFFFF"/>
          <w:lang w:val="en-US" w:eastAsia="zh-CN"/>
        </w:rPr>
        <w:t>　</w:t>
      </w:r>
      <w:r>
        <w:rPr>
          <w:rFonts w:hint="eastAsia" w:ascii="仿宋_GB2312" w:hAnsi="仿宋_GB2312" w:eastAsia="仿宋_GB2312" w:cs="仿宋_GB2312"/>
          <w:i w:val="0"/>
          <w:iCs w:val="0"/>
          <w:caps w:val="0"/>
          <w:color w:val="000000"/>
          <w:spacing w:val="0"/>
          <w:sz w:val="32"/>
          <w:szCs w:val="32"/>
          <w:shd w:val="clear" w:fill="FFFFFF"/>
        </w:rPr>
        <w:t>农村集中供水单位应当与用水人签订供水用水合同，明确双方的权利和义务。</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jc w:val="both"/>
        <w:textAlignment w:val="top"/>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　　村（居）民委员会可以制定供水用水公约，规范村民（居民）用水行为。</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jc w:val="both"/>
        <w:textAlignment w:val="top"/>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　　</w:t>
      </w:r>
      <w:r>
        <w:rPr>
          <w:rFonts w:hint="eastAsia" w:ascii="黑体" w:hAnsi="黑体" w:eastAsia="黑体" w:cs="黑体"/>
          <w:i w:val="0"/>
          <w:iCs w:val="0"/>
          <w:caps w:val="0"/>
          <w:color w:val="000000"/>
          <w:spacing w:val="0"/>
          <w:sz w:val="32"/>
          <w:szCs w:val="32"/>
          <w:shd w:val="clear" w:fill="FFFFFF"/>
        </w:rPr>
        <w:t>第二十八条</w:t>
      </w:r>
      <w:r>
        <w:rPr>
          <w:rFonts w:hint="eastAsia" w:ascii="黑体" w:hAnsi="黑体" w:eastAsia="黑体" w:cs="黑体"/>
          <w:i w:val="0"/>
          <w:caps w:val="0"/>
          <w:color w:val="333333"/>
          <w:spacing w:val="0"/>
          <w:sz w:val="32"/>
          <w:szCs w:val="32"/>
          <w:shd w:val="clear" w:fill="FFFFFF"/>
          <w:lang w:val="en-US" w:eastAsia="zh-CN"/>
        </w:rPr>
        <w:t>　</w:t>
      </w:r>
      <w:r>
        <w:rPr>
          <w:rFonts w:hint="eastAsia" w:ascii="仿宋_GB2312" w:hAnsi="仿宋_GB2312" w:eastAsia="仿宋_GB2312" w:cs="仿宋_GB2312"/>
          <w:i w:val="0"/>
          <w:iCs w:val="0"/>
          <w:caps w:val="0"/>
          <w:color w:val="000000"/>
          <w:spacing w:val="0"/>
          <w:sz w:val="32"/>
          <w:szCs w:val="32"/>
          <w:shd w:val="clear" w:fill="FFFFFF"/>
        </w:rPr>
        <w:t>农村集中供水单位应当遵守下列规定，保证安全稳定供水：</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jc w:val="both"/>
        <w:textAlignment w:val="top"/>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　　（一）依法取得卫生许可证；</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jc w:val="both"/>
        <w:textAlignment w:val="top"/>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　　（二）建立健全工程安全运行管理制度，实行规范化管理；</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jc w:val="both"/>
        <w:textAlignment w:val="top"/>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　　（三）供水水质、水量和水压符合国家规定标准；</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jc w:val="both"/>
        <w:textAlignment w:val="top"/>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　　（四）在供水管网入户处安装符合国家标准、经检定合格的计量设施，依照合同约定计量收取水费；</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jc w:val="both"/>
        <w:textAlignment w:val="top"/>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　　（五）建立取水、供水统计制度，按照规定报送取水、供水统计数据；</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jc w:val="both"/>
        <w:textAlignment w:val="top"/>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　　（六）建立规范的供水档案管理制度，保护用水人信息；</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jc w:val="both"/>
        <w:textAlignment w:val="top"/>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　　（七）设立供水事故抢修电话，并向社会公布，接受用水人监督。</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jc w:val="both"/>
        <w:textAlignment w:val="top"/>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　　</w:t>
      </w:r>
      <w:r>
        <w:rPr>
          <w:rFonts w:hint="eastAsia" w:ascii="黑体" w:hAnsi="黑体" w:eastAsia="黑体" w:cs="黑体"/>
          <w:i w:val="0"/>
          <w:iCs w:val="0"/>
          <w:caps w:val="0"/>
          <w:color w:val="000000"/>
          <w:spacing w:val="0"/>
          <w:sz w:val="32"/>
          <w:szCs w:val="32"/>
          <w:shd w:val="clear" w:fill="FFFFFF"/>
        </w:rPr>
        <w:t>第二十九条</w:t>
      </w:r>
      <w:r>
        <w:rPr>
          <w:rFonts w:hint="eastAsia" w:ascii="黑体" w:hAnsi="黑体" w:eastAsia="黑体" w:cs="黑体"/>
          <w:i w:val="0"/>
          <w:caps w:val="0"/>
          <w:color w:val="333333"/>
          <w:spacing w:val="0"/>
          <w:sz w:val="32"/>
          <w:szCs w:val="32"/>
          <w:shd w:val="clear" w:fill="FFFFFF"/>
          <w:lang w:val="en-US" w:eastAsia="zh-CN"/>
        </w:rPr>
        <w:t>　</w:t>
      </w:r>
      <w:r>
        <w:rPr>
          <w:rFonts w:hint="eastAsia" w:ascii="仿宋_GB2312" w:hAnsi="仿宋_GB2312" w:eastAsia="仿宋_GB2312" w:cs="仿宋_GB2312"/>
          <w:i w:val="0"/>
          <w:iCs w:val="0"/>
          <w:caps w:val="0"/>
          <w:color w:val="000000"/>
          <w:spacing w:val="0"/>
          <w:sz w:val="32"/>
          <w:szCs w:val="32"/>
          <w:shd w:val="clear" w:fill="FFFFFF"/>
        </w:rPr>
        <w:t>农村集中供水单位应当不间断或者按照供水合同分时段供水。</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jc w:val="both"/>
        <w:textAlignment w:val="top"/>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　　因工程施工、设备维修等确需临时停止供水或者降压供水的，农村集中供水单位应当提前24小时通知用水人；因发生自然灾害或者紧急事故等不能正常供水的，农村集中供水单位应当及时组织抢修，并通知用水人。连续48小时以上不能正常供水的，农村集中供水单位应当向县级人民政府及其水行政主管部门报告，并采取应急供水措施。</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jc w:val="both"/>
        <w:textAlignment w:val="top"/>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　　农村集中供水单位未按照规定的供水质量标准供水、临时停止供水未事先通知造成用水人损失、因发生自然灾害或者紧急事故断水未及时抢修造成用水人损失的，应当依法承担赔偿责任。</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jc w:val="both"/>
        <w:textAlignment w:val="top"/>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　　</w:t>
      </w:r>
      <w:r>
        <w:rPr>
          <w:rFonts w:hint="eastAsia" w:ascii="黑体" w:hAnsi="黑体" w:eastAsia="黑体" w:cs="黑体"/>
          <w:i w:val="0"/>
          <w:iCs w:val="0"/>
          <w:caps w:val="0"/>
          <w:color w:val="000000"/>
          <w:spacing w:val="0"/>
          <w:sz w:val="32"/>
          <w:szCs w:val="32"/>
          <w:shd w:val="clear" w:fill="FFFFFF"/>
        </w:rPr>
        <w:t>第三十条</w:t>
      </w:r>
      <w:r>
        <w:rPr>
          <w:rFonts w:hint="eastAsia" w:ascii="黑体" w:hAnsi="黑体" w:eastAsia="黑体" w:cs="黑体"/>
          <w:i w:val="0"/>
          <w:caps w:val="0"/>
          <w:color w:val="333333"/>
          <w:spacing w:val="0"/>
          <w:sz w:val="32"/>
          <w:szCs w:val="32"/>
          <w:shd w:val="clear" w:fill="FFFFFF"/>
          <w:lang w:val="en-US" w:eastAsia="zh-CN"/>
        </w:rPr>
        <w:t>　</w:t>
      </w:r>
      <w:r>
        <w:rPr>
          <w:rFonts w:hint="eastAsia" w:ascii="仿宋_GB2312" w:hAnsi="仿宋_GB2312" w:eastAsia="仿宋_GB2312" w:cs="仿宋_GB2312"/>
          <w:i w:val="0"/>
          <w:iCs w:val="0"/>
          <w:caps w:val="0"/>
          <w:color w:val="000000"/>
          <w:spacing w:val="0"/>
          <w:sz w:val="32"/>
          <w:szCs w:val="32"/>
          <w:shd w:val="clear" w:fill="FFFFFF"/>
        </w:rPr>
        <w:t>因水旱灾害等不可抗力使农村供水工程损毁或者不能正常运行的，所在地县级人民政府应当组织有关主管部门、乡镇人民政府、街道办事处和农村集中供水单位采取相应措施保证供水。</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jc w:val="both"/>
        <w:textAlignment w:val="top"/>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　　县级以上人民政府水行政主管部门应当对受损坏的农村供水工程进行检查评估，并及时组织修复或者恢复重建。</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jc w:val="both"/>
        <w:textAlignment w:val="top"/>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　　县级以上人民政府有关主管部门应当将受损坏的农村供水工程优先列入年度修复建设计划。</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jc w:val="both"/>
        <w:textAlignment w:val="top"/>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　　</w:t>
      </w:r>
      <w:r>
        <w:rPr>
          <w:rFonts w:hint="eastAsia" w:ascii="黑体" w:hAnsi="黑体" w:eastAsia="黑体" w:cs="黑体"/>
          <w:i w:val="0"/>
          <w:iCs w:val="0"/>
          <w:caps w:val="0"/>
          <w:color w:val="000000"/>
          <w:spacing w:val="0"/>
          <w:sz w:val="32"/>
          <w:szCs w:val="32"/>
          <w:shd w:val="clear" w:fill="FFFFFF"/>
        </w:rPr>
        <w:t>第三十一条</w:t>
      </w:r>
      <w:r>
        <w:rPr>
          <w:rFonts w:hint="eastAsia" w:ascii="黑体" w:hAnsi="黑体" w:eastAsia="黑体" w:cs="黑体"/>
          <w:i w:val="0"/>
          <w:caps w:val="0"/>
          <w:color w:val="333333"/>
          <w:spacing w:val="0"/>
          <w:sz w:val="32"/>
          <w:szCs w:val="32"/>
          <w:shd w:val="clear" w:fill="FFFFFF"/>
          <w:lang w:val="en-US" w:eastAsia="zh-CN"/>
        </w:rPr>
        <w:t>　</w:t>
      </w:r>
      <w:r>
        <w:rPr>
          <w:rFonts w:hint="eastAsia" w:ascii="仿宋_GB2312" w:hAnsi="仿宋_GB2312" w:eastAsia="仿宋_GB2312" w:cs="仿宋_GB2312"/>
          <w:i w:val="0"/>
          <w:iCs w:val="0"/>
          <w:caps w:val="0"/>
          <w:color w:val="000000"/>
          <w:spacing w:val="0"/>
          <w:sz w:val="32"/>
          <w:szCs w:val="32"/>
          <w:shd w:val="clear" w:fill="FFFFFF"/>
        </w:rPr>
        <w:t>农村集中供水单位在合同有效期内不得擅自退出经营。确需退出经营的，应当提前3个月向所有权人提出，并保证供水设施完好无损、正常运行。</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jc w:val="both"/>
        <w:textAlignment w:val="top"/>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　　</w:t>
      </w:r>
      <w:r>
        <w:rPr>
          <w:rFonts w:hint="eastAsia" w:ascii="黑体" w:hAnsi="黑体" w:eastAsia="黑体" w:cs="黑体"/>
          <w:i w:val="0"/>
          <w:iCs w:val="0"/>
          <w:caps w:val="0"/>
          <w:color w:val="000000"/>
          <w:spacing w:val="0"/>
          <w:sz w:val="32"/>
          <w:szCs w:val="32"/>
          <w:shd w:val="clear" w:fill="FFFFFF"/>
        </w:rPr>
        <w:t>第三十二条</w:t>
      </w:r>
      <w:r>
        <w:rPr>
          <w:rFonts w:hint="eastAsia" w:ascii="黑体" w:hAnsi="黑体" w:eastAsia="黑体" w:cs="黑体"/>
          <w:i w:val="0"/>
          <w:caps w:val="0"/>
          <w:color w:val="333333"/>
          <w:spacing w:val="0"/>
          <w:sz w:val="32"/>
          <w:szCs w:val="32"/>
          <w:shd w:val="clear" w:fill="FFFFFF"/>
          <w:lang w:val="en-US" w:eastAsia="zh-CN"/>
        </w:rPr>
        <w:t>　</w:t>
      </w:r>
      <w:r>
        <w:rPr>
          <w:rFonts w:hint="eastAsia" w:ascii="仿宋_GB2312" w:hAnsi="仿宋_GB2312" w:eastAsia="仿宋_GB2312" w:cs="仿宋_GB2312"/>
          <w:i w:val="0"/>
          <w:iCs w:val="0"/>
          <w:caps w:val="0"/>
          <w:color w:val="000000"/>
          <w:spacing w:val="0"/>
          <w:sz w:val="32"/>
          <w:szCs w:val="32"/>
          <w:shd w:val="clear" w:fill="FFFFFF"/>
        </w:rPr>
        <w:t>城市供水管网向农村延伸供水的，应当根据实际情况合理确定水价。</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jc w:val="both"/>
        <w:textAlignment w:val="top"/>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　　农村集中供水按照补偿成本、合理收益、公平负担、促进节水的原则，实行政府定价或者政府指导价，并根据供水成本、费用变化和用水人承受能力等因素适时合理调整。具体办法由设区的市、县级人民政府根据当地实际情况规定。</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jc w:val="both"/>
        <w:textAlignment w:val="top"/>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　　农村分散供水工程以及村民自建自管的供水工程用水价格，由村集体经济组织或者受益村民根据实际情况自行确定。</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jc w:val="both"/>
        <w:textAlignment w:val="top"/>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　　</w:t>
      </w:r>
      <w:r>
        <w:rPr>
          <w:rFonts w:hint="eastAsia" w:ascii="黑体" w:hAnsi="黑体" w:eastAsia="黑体" w:cs="黑体"/>
          <w:i w:val="0"/>
          <w:iCs w:val="0"/>
          <w:caps w:val="0"/>
          <w:color w:val="000000"/>
          <w:spacing w:val="0"/>
          <w:sz w:val="32"/>
          <w:szCs w:val="32"/>
          <w:shd w:val="clear" w:fill="FFFFFF"/>
        </w:rPr>
        <w:t>第三十三条</w:t>
      </w:r>
      <w:r>
        <w:rPr>
          <w:rFonts w:hint="eastAsia" w:ascii="黑体" w:hAnsi="黑体" w:eastAsia="黑体" w:cs="黑体"/>
          <w:i w:val="0"/>
          <w:caps w:val="0"/>
          <w:color w:val="333333"/>
          <w:spacing w:val="0"/>
          <w:sz w:val="32"/>
          <w:szCs w:val="32"/>
          <w:shd w:val="clear" w:fill="FFFFFF"/>
          <w:lang w:val="en-US" w:eastAsia="zh-CN"/>
        </w:rPr>
        <w:t>　</w:t>
      </w:r>
      <w:r>
        <w:rPr>
          <w:rFonts w:hint="eastAsia" w:ascii="仿宋_GB2312" w:hAnsi="仿宋_GB2312" w:eastAsia="仿宋_GB2312" w:cs="仿宋_GB2312"/>
          <w:i w:val="0"/>
          <w:iCs w:val="0"/>
          <w:caps w:val="0"/>
          <w:color w:val="000000"/>
          <w:spacing w:val="0"/>
          <w:sz w:val="32"/>
          <w:szCs w:val="32"/>
          <w:shd w:val="clear" w:fill="FFFFFF"/>
        </w:rPr>
        <w:t>山丘区和高氟水、高砷水、苦咸水等地区农村供水工程供水价格低于运行成本导致水费收入不能维持工程正常运行的，县级人民政府可以结合实际对工程维护给予适当补助。</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jc w:val="both"/>
        <w:textAlignment w:val="top"/>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　　</w:t>
      </w:r>
      <w:r>
        <w:rPr>
          <w:rFonts w:hint="eastAsia" w:ascii="黑体" w:hAnsi="黑体" w:eastAsia="黑体" w:cs="黑体"/>
          <w:i w:val="0"/>
          <w:iCs w:val="0"/>
          <w:caps w:val="0"/>
          <w:color w:val="000000"/>
          <w:spacing w:val="0"/>
          <w:sz w:val="32"/>
          <w:szCs w:val="32"/>
          <w:shd w:val="clear" w:fill="FFFFFF"/>
        </w:rPr>
        <w:t>第三十四条</w:t>
      </w:r>
      <w:r>
        <w:rPr>
          <w:rFonts w:hint="eastAsia" w:ascii="黑体" w:hAnsi="黑体" w:eastAsia="黑体" w:cs="黑体"/>
          <w:i w:val="0"/>
          <w:caps w:val="0"/>
          <w:color w:val="333333"/>
          <w:spacing w:val="0"/>
          <w:sz w:val="32"/>
          <w:szCs w:val="32"/>
          <w:shd w:val="clear" w:fill="FFFFFF"/>
          <w:lang w:val="en-US" w:eastAsia="zh-CN"/>
        </w:rPr>
        <w:t>　</w:t>
      </w:r>
      <w:r>
        <w:rPr>
          <w:rFonts w:hint="eastAsia" w:ascii="仿宋_GB2312" w:hAnsi="仿宋_GB2312" w:eastAsia="仿宋_GB2312" w:cs="仿宋_GB2312"/>
          <w:i w:val="0"/>
          <w:iCs w:val="0"/>
          <w:caps w:val="0"/>
          <w:color w:val="000000"/>
          <w:spacing w:val="0"/>
          <w:sz w:val="32"/>
          <w:szCs w:val="32"/>
          <w:shd w:val="clear" w:fill="FFFFFF"/>
        </w:rPr>
        <w:t>县级人民政府应当组织水行政主管部门和生态环境、卫生健康、应急管理等部门编制农村供水突发事件应急预案，并定期进行演练。</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jc w:val="both"/>
        <w:textAlignment w:val="top"/>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　　发生水污染等突发事件时，县级人民政府应当立即启动应急预案，采取有效措施，保障农村居民用水安全。</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jc w:val="both"/>
        <w:textAlignment w:val="top"/>
        <w:rPr>
          <w:rFonts w:hint="eastAsia" w:ascii="仿宋_GB2312" w:hAnsi="仿宋_GB2312" w:eastAsia="仿宋_GB2312" w:cs="仿宋_GB2312"/>
          <w:i w:val="0"/>
          <w:iCs w:val="0"/>
          <w:caps w:val="0"/>
          <w:color w:val="000000"/>
          <w:spacing w:val="0"/>
          <w:sz w:val="32"/>
          <w:szCs w:val="32"/>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jc w:val="center"/>
        <w:textAlignment w:val="top"/>
        <w:rPr>
          <w:rFonts w:hint="eastAsia" w:ascii="黑体" w:hAnsi="黑体" w:eastAsia="黑体" w:cs="黑体"/>
          <w:i w:val="0"/>
          <w:iCs w:val="0"/>
          <w:caps w:val="0"/>
          <w:color w:val="000000"/>
          <w:spacing w:val="0"/>
          <w:sz w:val="32"/>
          <w:szCs w:val="32"/>
        </w:rPr>
      </w:pPr>
      <w:r>
        <w:rPr>
          <w:rFonts w:hint="eastAsia" w:ascii="黑体" w:hAnsi="黑体" w:eastAsia="黑体" w:cs="黑体"/>
          <w:i w:val="0"/>
          <w:iCs w:val="0"/>
          <w:caps w:val="0"/>
          <w:color w:val="000000"/>
          <w:spacing w:val="0"/>
          <w:sz w:val="32"/>
          <w:szCs w:val="32"/>
          <w:shd w:val="clear" w:fill="FFFFFF"/>
        </w:rPr>
        <w:t>第六章</w:t>
      </w:r>
      <w:r>
        <w:rPr>
          <w:rFonts w:hint="eastAsia" w:ascii="黑体" w:hAnsi="黑体" w:eastAsia="黑体" w:cs="黑体"/>
          <w:i w:val="0"/>
          <w:iCs w:val="0"/>
          <w:caps w:val="0"/>
          <w:color w:val="333333"/>
          <w:spacing w:val="0"/>
          <w:sz w:val="32"/>
          <w:szCs w:val="32"/>
          <w:shd w:val="clear" w:fill="FFFFFF"/>
        </w:rPr>
        <w:t>　</w:t>
      </w:r>
      <w:r>
        <w:rPr>
          <w:rFonts w:hint="eastAsia" w:ascii="黑体" w:hAnsi="黑体" w:eastAsia="黑体" w:cs="黑体"/>
          <w:i w:val="0"/>
          <w:iCs w:val="0"/>
          <w:caps w:val="0"/>
          <w:color w:val="000000"/>
          <w:spacing w:val="0"/>
          <w:sz w:val="32"/>
          <w:szCs w:val="32"/>
          <w:shd w:val="clear" w:fill="FFFFFF"/>
        </w:rPr>
        <w:t>法律责任</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仿宋_GB2312" w:hAnsi="仿宋_GB2312" w:eastAsia="仿宋_GB2312" w:cs="仿宋_GB2312"/>
          <w:i w:val="0"/>
          <w:iCs w:val="0"/>
          <w:caps w:val="0"/>
          <w:color w:val="000000"/>
          <w:spacing w:val="0"/>
          <w:sz w:val="32"/>
          <w:szCs w:val="32"/>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jc w:val="both"/>
        <w:textAlignment w:val="top"/>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　　</w:t>
      </w:r>
      <w:r>
        <w:rPr>
          <w:rFonts w:hint="eastAsia" w:ascii="黑体" w:hAnsi="黑体" w:eastAsia="黑体" w:cs="黑体"/>
          <w:i w:val="0"/>
          <w:iCs w:val="0"/>
          <w:caps w:val="0"/>
          <w:color w:val="000000"/>
          <w:spacing w:val="0"/>
          <w:sz w:val="32"/>
          <w:szCs w:val="32"/>
          <w:shd w:val="clear" w:fill="FFFFFF"/>
        </w:rPr>
        <w:t>第三十五条</w:t>
      </w:r>
      <w:r>
        <w:rPr>
          <w:rFonts w:hint="eastAsia" w:ascii="黑体" w:hAnsi="黑体" w:eastAsia="黑体" w:cs="黑体"/>
          <w:i w:val="0"/>
          <w:caps w:val="0"/>
          <w:color w:val="333333"/>
          <w:spacing w:val="0"/>
          <w:sz w:val="32"/>
          <w:szCs w:val="32"/>
          <w:shd w:val="clear" w:fill="FFFFFF"/>
          <w:lang w:val="en-US" w:eastAsia="zh-CN"/>
        </w:rPr>
        <w:t>　</w:t>
      </w:r>
      <w:r>
        <w:rPr>
          <w:rFonts w:hint="eastAsia" w:ascii="仿宋_GB2312" w:hAnsi="仿宋_GB2312" w:eastAsia="仿宋_GB2312" w:cs="仿宋_GB2312"/>
          <w:i w:val="0"/>
          <w:iCs w:val="0"/>
          <w:caps w:val="0"/>
          <w:color w:val="000000"/>
          <w:spacing w:val="0"/>
          <w:sz w:val="32"/>
          <w:szCs w:val="32"/>
          <w:shd w:val="clear" w:fill="FFFFFF"/>
        </w:rPr>
        <w:t>违反本办法规定，法律、法规已有法律责任规定的，从其规定。</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jc w:val="both"/>
        <w:textAlignment w:val="top"/>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　　</w:t>
      </w:r>
      <w:r>
        <w:rPr>
          <w:rFonts w:hint="eastAsia" w:ascii="黑体" w:hAnsi="黑体" w:eastAsia="黑体" w:cs="黑体"/>
          <w:i w:val="0"/>
          <w:iCs w:val="0"/>
          <w:caps w:val="0"/>
          <w:color w:val="000000"/>
          <w:spacing w:val="0"/>
          <w:sz w:val="32"/>
          <w:szCs w:val="32"/>
          <w:shd w:val="clear" w:fill="FFFFFF"/>
        </w:rPr>
        <w:t>第三十六条</w:t>
      </w:r>
      <w:r>
        <w:rPr>
          <w:rFonts w:hint="eastAsia" w:ascii="黑体" w:hAnsi="黑体" w:eastAsia="黑体" w:cs="黑体"/>
          <w:i w:val="0"/>
          <w:caps w:val="0"/>
          <w:color w:val="333333"/>
          <w:spacing w:val="0"/>
          <w:sz w:val="32"/>
          <w:szCs w:val="32"/>
          <w:shd w:val="clear" w:fill="FFFFFF"/>
          <w:lang w:val="en-US" w:eastAsia="zh-CN"/>
        </w:rPr>
        <w:t>　</w:t>
      </w:r>
      <w:r>
        <w:rPr>
          <w:rFonts w:hint="eastAsia" w:ascii="仿宋_GB2312" w:hAnsi="仿宋_GB2312" w:eastAsia="仿宋_GB2312" w:cs="仿宋_GB2312"/>
          <w:i w:val="0"/>
          <w:iCs w:val="0"/>
          <w:caps w:val="0"/>
          <w:color w:val="000000"/>
          <w:spacing w:val="0"/>
          <w:sz w:val="32"/>
          <w:szCs w:val="32"/>
          <w:shd w:val="clear" w:fill="FFFFFF"/>
        </w:rPr>
        <w:t>县级以上人民政府、乡镇人民政府、街道办事处以及有关部门的工作人员在农村供水管理工作中玩忽职守、滥用职权、徇私舞弊的，依法给予处分；构成犯罪的，依法追究刑事责任。</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jc w:val="both"/>
        <w:textAlignment w:val="top"/>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　　</w:t>
      </w:r>
      <w:r>
        <w:rPr>
          <w:rFonts w:hint="eastAsia" w:ascii="黑体" w:hAnsi="黑体" w:eastAsia="黑体" w:cs="黑体"/>
          <w:i w:val="0"/>
          <w:iCs w:val="0"/>
          <w:caps w:val="0"/>
          <w:color w:val="000000"/>
          <w:spacing w:val="0"/>
          <w:sz w:val="32"/>
          <w:szCs w:val="32"/>
          <w:shd w:val="clear" w:fill="FFFFFF"/>
        </w:rPr>
        <w:t>第三十七条</w:t>
      </w:r>
      <w:r>
        <w:rPr>
          <w:rFonts w:hint="eastAsia" w:ascii="黑体" w:hAnsi="黑体" w:eastAsia="黑体" w:cs="黑体"/>
          <w:i w:val="0"/>
          <w:caps w:val="0"/>
          <w:color w:val="333333"/>
          <w:spacing w:val="0"/>
          <w:sz w:val="32"/>
          <w:szCs w:val="32"/>
          <w:shd w:val="clear" w:fill="FFFFFF"/>
          <w:lang w:val="en-US" w:eastAsia="zh-CN"/>
        </w:rPr>
        <w:t>　</w:t>
      </w:r>
      <w:r>
        <w:rPr>
          <w:rFonts w:hint="eastAsia" w:ascii="仿宋_GB2312" w:hAnsi="仿宋_GB2312" w:eastAsia="仿宋_GB2312" w:cs="仿宋_GB2312"/>
          <w:i w:val="0"/>
          <w:iCs w:val="0"/>
          <w:caps w:val="0"/>
          <w:color w:val="000000"/>
          <w:spacing w:val="0"/>
          <w:sz w:val="32"/>
          <w:szCs w:val="32"/>
          <w:shd w:val="clear" w:fill="FFFFFF"/>
        </w:rPr>
        <w:t>违反本办法规定，有下列行为之一的，由县级以上人民政府水行政主管部门责令限期改正，可以按照下列规定处以罚款：</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jc w:val="both"/>
        <w:textAlignment w:val="top"/>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　　（一）在农村集中供水管道上直接装泵抽水的，处3000元以上2万元以下罚款；</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jc w:val="both"/>
        <w:textAlignment w:val="top"/>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　　（二）生产或者使用有毒、有害物质的单位将其生产、使用的用水管网与农村供水管网系统直接连接的，处3万元以上5万元以下罚款；</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jc w:val="both"/>
        <w:textAlignment w:val="top"/>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　　（三）移动、喷涂、覆盖、损坏农村供水工程界桩、公告牌等标识的，处500元以上2000元以下罚款。</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jc w:val="both"/>
        <w:textAlignment w:val="top"/>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　　</w:t>
      </w:r>
      <w:r>
        <w:rPr>
          <w:rFonts w:hint="eastAsia" w:ascii="黑体" w:hAnsi="黑体" w:eastAsia="黑体" w:cs="黑体"/>
          <w:i w:val="0"/>
          <w:iCs w:val="0"/>
          <w:caps w:val="0"/>
          <w:color w:val="000000"/>
          <w:spacing w:val="0"/>
          <w:sz w:val="32"/>
          <w:szCs w:val="32"/>
          <w:shd w:val="clear" w:fill="FFFFFF"/>
        </w:rPr>
        <w:t>第三十八条</w:t>
      </w:r>
      <w:r>
        <w:rPr>
          <w:rFonts w:hint="eastAsia" w:ascii="黑体" w:hAnsi="黑体" w:eastAsia="黑体" w:cs="黑体"/>
          <w:i w:val="0"/>
          <w:caps w:val="0"/>
          <w:color w:val="333333"/>
          <w:spacing w:val="0"/>
          <w:sz w:val="32"/>
          <w:szCs w:val="32"/>
          <w:shd w:val="clear" w:fill="FFFFFF"/>
          <w:lang w:val="en-US" w:eastAsia="zh-CN"/>
        </w:rPr>
        <w:t>　</w:t>
      </w:r>
      <w:r>
        <w:rPr>
          <w:rFonts w:hint="eastAsia" w:ascii="仿宋_GB2312" w:hAnsi="仿宋_GB2312" w:eastAsia="仿宋_GB2312" w:cs="仿宋_GB2312"/>
          <w:i w:val="0"/>
          <w:iCs w:val="0"/>
          <w:caps w:val="0"/>
          <w:color w:val="000000"/>
          <w:spacing w:val="0"/>
          <w:sz w:val="32"/>
          <w:szCs w:val="32"/>
          <w:shd w:val="clear" w:fill="FFFFFF"/>
        </w:rPr>
        <w:t>违反本办法规定，供水单位有下列情形之一的，由所在地设区的市、县级人民政府水行政主管部门责令限期改正，并采取补救措施；逾期不改正的，予以通报批评：</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jc w:val="both"/>
        <w:textAlignment w:val="top"/>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　　（一）未按照规定开展水质检测工作的；</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jc w:val="both"/>
        <w:textAlignment w:val="top"/>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　　（二）未定期检查、维修供水设施，停止供水、降压供水后未及时抢修或者未按照规定采取应急供水措施的；</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jc w:val="both"/>
        <w:textAlignment w:val="top"/>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　　（三）违反规定擅自停止供水或者未履行停止供水通知义务的；</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jc w:val="both"/>
        <w:textAlignment w:val="top"/>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　　（四）发生供水突发事件未及时报告、未及时采取措施或者不配合实施应急预案的。</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jc w:val="both"/>
        <w:textAlignment w:val="top"/>
        <w:rPr>
          <w:rFonts w:hint="eastAsia" w:ascii="仿宋_GB2312" w:hAnsi="仿宋_GB2312" w:eastAsia="仿宋_GB2312" w:cs="仿宋_GB2312"/>
          <w:i w:val="0"/>
          <w:iCs w:val="0"/>
          <w:caps w:val="0"/>
          <w:color w:val="000000"/>
          <w:spacing w:val="0"/>
          <w:sz w:val="32"/>
          <w:szCs w:val="32"/>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jc w:val="center"/>
        <w:textAlignment w:val="top"/>
        <w:rPr>
          <w:rFonts w:hint="eastAsia" w:ascii="黑体" w:hAnsi="黑体" w:eastAsia="黑体" w:cs="黑体"/>
          <w:i w:val="0"/>
          <w:iCs w:val="0"/>
          <w:caps w:val="0"/>
          <w:color w:val="000000"/>
          <w:spacing w:val="0"/>
          <w:sz w:val="32"/>
          <w:szCs w:val="32"/>
        </w:rPr>
      </w:pPr>
      <w:r>
        <w:rPr>
          <w:rFonts w:hint="eastAsia" w:ascii="黑体" w:hAnsi="黑体" w:eastAsia="黑体" w:cs="黑体"/>
          <w:i w:val="0"/>
          <w:iCs w:val="0"/>
          <w:caps w:val="0"/>
          <w:color w:val="000000"/>
          <w:spacing w:val="0"/>
          <w:sz w:val="32"/>
          <w:szCs w:val="32"/>
          <w:shd w:val="clear" w:fill="FFFFFF"/>
        </w:rPr>
        <w:t>第七章</w:t>
      </w:r>
      <w:r>
        <w:rPr>
          <w:rFonts w:hint="eastAsia" w:ascii="黑体" w:hAnsi="黑体" w:eastAsia="黑体" w:cs="黑体"/>
          <w:i w:val="0"/>
          <w:iCs w:val="0"/>
          <w:caps w:val="0"/>
          <w:color w:val="333333"/>
          <w:spacing w:val="0"/>
          <w:sz w:val="32"/>
          <w:szCs w:val="32"/>
          <w:shd w:val="clear" w:fill="FFFFFF"/>
        </w:rPr>
        <w:t>　</w:t>
      </w:r>
      <w:r>
        <w:rPr>
          <w:rFonts w:hint="eastAsia" w:ascii="黑体" w:hAnsi="黑体" w:eastAsia="黑体" w:cs="黑体"/>
          <w:i w:val="0"/>
          <w:iCs w:val="0"/>
          <w:caps w:val="0"/>
          <w:color w:val="000000"/>
          <w:spacing w:val="0"/>
          <w:sz w:val="32"/>
          <w:szCs w:val="32"/>
          <w:shd w:val="clear" w:fill="FFFFFF"/>
        </w:rPr>
        <w:t>附则</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textAlignment w:val="top"/>
        <w:rPr>
          <w:rFonts w:hint="eastAsia" w:ascii="仿宋_GB2312" w:hAnsi="仿宋_GB2312" w:eastAsia="仿宋_GB2312" w:cs="仿宋_GB2312"/>
          <w:i w:val="0"/>
          <w:iCs w:val="0"/>
          <w:caps w:val="0"/>
          <w:color w:val="000000"/>
          <w:spacing w:val="0"/>
          <w:sz w:val="32"/>
          <w:szCs w:val="32"/>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jc w:val="both"/>
        <w:textAlignment w:val="top"/>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　　</w:t>
      </w:r>
      <w:r>
        <w:rPr>
          <w:rFonts w:hint="eastAsia" w:ascii="黑体" w:hAnsi="黑体" w:eastAsia="黑体" w:cs="黑体"/>
          <w:i w:val="0"/>
          <w:iCs w:val="0"/>
          <w:caps w:val="0"/>
          <w:color w:val="000000"/>
          <w:spacing w:val="0"/>
          <w:sz w:val="32"/>
          <w:szCs w:val="32"/>
          <w:shd w:val="clear" w:fill="FFFFFF"/>
        </w:rPr>
        <w:t>第三十九条</w:t>
      </w:r>
      <w:r>
        <w:rPr>
          <w:rFonts w:hint="eastAsia" w:ascii="黑体" w:hAnsi="黑体" w:eastAsia="黑体" w:cs="黑体"/>
          <w:i w:val="0"/>
          <w:caps w:val="0"/>
          <w:color w:val="333333"/>
          <w:spacing w:val="0"/>
          <w:sz w:val="32"/>
          <w:szCs w:val="32"/>
          <w:shd w:val="clear" w:fill="FFFFFF"/>
          <w:lang w:val="en-US" w:eastAsia="zh-CN"/>
        </w:rPr>
        <w:t>　</w:t>
      </w:r>
      <w:r>
        <w:rPr>
          <w:rFonts w:hint="eastAsia" w:ascii="仿宋_GB2312" w:hAnsi="仿宋_GB2312" w:eastAsia="仿宋_GB2312" w:cs="仿宋_GB2312"/>
          <w:i w:val="0"/>
          <w:iCs w:val="0"/>
          <w:caps w:val="0"/>
          <w:color w:val="000000"/>
          <w:spacing w:val="0"/>
          <w:sz w:val="32"/>
          <w:szCs w:val="32"/>
          <w:shd w:val="clear" w:fill="FFFFFF"/>
        </w:rPr>
        <w:t>本办法下列用语的含义是：</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jc w:val="both"/>
        <w:textAlignment w:val="top"/>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　　农村供水，是指利用取水工程或者供水设施为农村居民和单位等用水人提供生活饮水和生活用水的活动。</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jc w:val="both"/>
        <w:textAlignment w:val="top"/>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　　农村集中供水工程，是指从水源集中取水，经必要的净化和消毒后，通过输配水管网统一输送到用水人或者集中供水点的供水工程，包括水源工程、取水设施、水厂、输配水管网、监控系统、入户设施及其相关附属设施。</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jc w:val="both"/>
        <w:textAlignment w:val="top"/>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　　农村分散供水工程，是指分散居住的农村居民使用简易设施或者工具直接从水源取水的供水工程，包括水窖、储水池、小型机电井、人力抽水井等设施。</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jc w:val="both"/>
        <w:textAlignment w:val="top"/>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　　规模化供水工程，是指供水人口1万人以上或者日供水规模1000立方米以上的农村集中供水工程。</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40" w:lineRule="atLeast"/>
        <w:ind w:left="0" w:right="0" w:firstLine="0"/>
        <w:jc w:val="both"/>
        <w:textAlignment w:val="top"/>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　　</w:t>
      </w:r>
      <w:r>
        <w:rPr>
          <w:rFonts w:hint="eastAsia" w:ascii="黑体" w:hAnsi="黑体" w:eastAsia="黑体" w:cs="黑体"/>
          <w:i w:val="0"/>
          <w:iCs w:val="0"/>
          <w:caps w:val="0"/>
          <w:color w:val="000000"/>
          <w:spacing w:val="0"/>
          <w:sz w:val="32"/>
          <w:szCs w:val="32"/>
          <w:shd w:val="clear" w:fill="FFFFFF"/>
        </w:rPr>
        <w:t>第四十条</w:t>
      </w:r>
      <w:r>
        <w:rPr>
          <w:rFonts w:hint="eastAsia" w:ascii="黑体" w:hAnsi="黑体" w:eastAsia="黑体" w:cs="黑体"/>
          <w:i w:val="0"/>
          <w:caps w:val="0"/>
          <w:color w:val="333333"/>
          <w:spacing w:val="0"/>
          <w:sz w:val="32"/>
          <w:szCs w:val="32"/>
          <w:shd w:val="clear" w:fill="FFFFFF"/>
          <w:lang w:val="en-US" w:eastAsia="zh-CN"/>
        </w:rPr>
        <w:t>　</w:t>
      </w:r>
      <w:r>
        <w:rPr>
          <w:rFonts w:hint="eastAsia" w:ascii="仿宋_GB2312" w:hAnsi="仿宋_GB2312" w:eastAsia="仿宋_GB2312" w:cs="仿宋_GB2312"/>
          <w:i w:val="0"/>
          <w:iCs w:val="0"/>
          <w:caps w:val="0"/>
          <w:color w:val="000000"/>
          <w:spacing w:val="0"/>
          <w:sz w:val="32"/>
          <w:szCs w:val="32"/>
          <w:shd w:val="clear" w:fill="FFFFFF"/>
        </w:rPr>
        <w:t>本办法自2024年3月1日起施行。</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p>
    <w:sectPr>
      <w:headerReference r:id="rId3" w:type="default"/>
      <w:footerReference r:id="rId4" w:type="default"/>
      <w:pgSz w:w="11906" w:h="16838"/>
      <w:pgMar w:top="1962" w:right="1474" w:bottom="1848" w:left="1587" w:header="851" w:footer="992"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altName w:val="方正舒体"/>
    <w:panose1 w:val="03000509000000000000"/>
    <w:charset w:val="86"/>
    <w:family w:val="auto"/>
    <w:pitch w:val="default"/>
    <w:sig w:usb0="00000000" w:usb1="00000000" w:usb2="00000000" w:usb3="00000000" w:csb0="00040000" w:csb1="00000000"/>
  </w:font>
  <w:font w:name="FZXiaoBiaoSong-B05S">
    <w:altName w:val="Segoe Print"/>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楷体_GB2312">
    <w:altName w:val="楷体"/>
    <w:panose1 w:val="02010609030101010101"/>
    <w:charset w:val="86"/>
    <w:family w:val="auto"/>
    <w:pitch w:val="default"/>
    <w:sig w:usb0="00000000" w:usb1="00000000" w:usb2="00000000" w:usb3="00000000" w:csb0="00040000" w:csb1="00000000"/>
  </w:font>
  <w:font w:name="Calibri Light">
    <w:panose1 w:val="020F0302020204030204"/>
    <w:charset w:val="00"/>
    <w:family w:val="auto"/>
    <w:pitch w:val="default"/>
    <w:sig w:usb0="E4002EFF" w:usb1="C200247B" w:usb2="00000009" w:usb3="00000000" w:csb0="200001FF" w:csb1="00000000"/>
  </w:font>
  <w:font w:name="方正仿宋_GB2312">
    <w:panose1 w:val="02000000000000000000"/>
    <w:charset w:val="86"/>
    <w:family w:val="auto"/>
    <w:pitch w:val="default"/>
    <w:sig w:usb0="A00002BF" w:usb1="184F6CFA" w:usb2="00000012" w:usb3="00000000" w:csb0="00040001" w:csb1="00000000"/>
  </w:font>
  <w:font w:name="思源黑体 CN Heavy">
    <w:panose1 w:val="020B0A00000000000000"/>
    <w:charset w:val="86"/>
    <w:family w:val="auto"/>
    <w:pitch w:val="default"/>
    <w:sig w:usb0="20000003" w:usb1="2ADF3C10" w:usb2="00000016" w:usb3="00000000" w:csb0="60060107" w:csb1="00000000"/>
  </w:font>
  <w:font w:name="汉仪长美黑简">
    <w:panose1 w:val="02010600000101010101"/>
    <w:charset w:val="86"/>
    <w:family w:val="auto"/>
    <w:pitch w:val="default"/>
    <w:sig w:usb0="00000001" w:usb1="080E0800" w:usb2="00000002"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left="4788" w:leftChars="2280" w:firstLine="6400" w:firstLineChars="2000"/>
      <w:rPr>
        <w:rFonts w:hint="eastAsia" w:eastAsia="仿宋"/>
        <w:sz w:val="32"/>
        <w:szCs w:val="48"/>
        <w:lang w:val="en-US" w:eastAsia="zh-CN"/>
      </w:rPr>
    </w:pPr>
    <w:r>
      <w:rPr>
        <w:sz w:val="32"/>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pPr>
                      <w:pStyle w:val="3"/>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lang w:val="en-US" w:eastAsia="zh-CN"/>
      </w:rPr>
      <w:t xml:space="preserve">  </w:t>
    </w:r>
  </w:p>
  <w:p>
    <w:pPr>
      <w:pStyle w:val="4"/>
      <w:wordWrap w:val="0"/>
      <w:ind w:left="4788" w:leftChars="2280" w:firstLine="6400" w:firstLineChars="2000"/>
      <w:jc w:val="right"/>
      <w:rPr>
        <w:rFonts w:hint="eastAsia" w:ascii="宋体" w:hAnsi="宋体" w:eastAsia="宋体" w:cs="宋体"/>
        <w:b/>
        <w:bCs/>
        <w:color w:val="005192"/>
        <w:sz w:val="28"/>
        <w:szCs w:val="44"/>
        <w:lang w:val="en-US" w:eastAsia="zh-CN"/>
      </w:rPr>
    </w:pPr>
    <w:r>
      <w:rPr>
        <w:color w:val="FAFAFA"/>
        <w:sz w:val="32"/>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85pt;height:0.15pt;width:442.25pt;z-index:251661312;mso-width-relative:page;mso-height-relative:page;" filled="f" stroked="t" coordsize="21600,21600" o:gfxdata="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zp6XR1AAA&#10;AAYBAAAPAAAAAAAAAAEAIAAAACIAAABkcnMvZG93bnJldi54bWxQSwECFAAUAAAACACHTuJA8DYt&#10;KekBAAC1AwAADgAAAAAAAAABACAAAAAjAQAAZHJzL2Uyb0RvYy54bWxQSwUGAAAAAAYABgBZAQAA&#10;fgUAAAAA&#10;">
              <v:fill on="f" focussize="0,0"/>
              <v:stroke weight="1.75pt" color="#005192 [3204]" miterlimit="8" joinstyle="miter"/>
              <v:imagedata o:title=""/>
              <o:lock v:ext="edit" aspectratio="f"/>
            </v:line>
          </w:pict>
        </mc:Fallback>
      </mc:AlternateContent>
    </w:r>
    <w:r>
      <w:rPr>
        <w:rFonts w:hint="eastAsia" w:eastAsia="仿宋"/>
        <w:color w:val="FAFAFA"/>
        <w:sz w:val="32"/>
        <w:szCs w:val="48"/>
        <w:lang w:val="en-US" w:eastAsia="zh-CN"/>
      </w:rPr>
      <w:t>X</w:t>
    </w:r>
    <w:r>
      <w:rPr>
        <w:rFonts w:hint="eastAsia" w:ascii="宋体" w:hAnsi="宋体" w:eastAsia="宋体" w:cs="宋体"/>
        <w:b/>
        <w:bCs/>
        <w:color w:val="005192"/>
        <w:sz w:val="28"/>
        <w:szCs w:val="44"/>
        <w:lang w:val="en-US" w:eastAsia="zh-CN"/>
      </w:rPr>
      <w:t xml:space="preserve">河南省人民政府发布     </w:t>
    </w:r>
  </w:p>
  <w:p>
    <w:pPr>
      <w:pStyle w:val="4"/>
      <w:wordWrap w:val="0"/>
      <w:ind w:left="4788" w:leftChars="2280" w:firstLine="5622" w:firstLineChars="2000"/>
      <w:jc w:val="right"/>
      <w:rPr>
        <w:rFonts w:hint="eastAsia" w:ascii="宋体" w:hAnsi="宋体" w:eastAsia="宋体" w:cs="宋体"/>
        <w:b/>
        <w:bCs/>
        <w:color w:val="005192"/>
        <w:sz w:val="28"/>
        <w:szCs w:val="44"/>
        <w:lang w:val="en-US"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rPr>
    </w:pPr>
    <w:r>
      <w:rPr>
        <w:rFonts w:hint="eastAsia" w:ascii="宋体" w:hAnsi="宋体" w:eastAsia="宋体" w:cs="宋体"/>
        <w:b/>
        <w:bCs/>
        <w:color w:val="005192"/>
        <w:sz w:val="32"/>
      </w:rPr>
      <mc:AlternateContent>
        <mc:Choice Requires="wps">
          <w:drawing>
            <wp:anchor distT="0" distB="0" distL="114300" distR="114300" simplePos="0" relativeHeight="251660288" behindDoc="0" locked="0" layoutInCell="1" allowOverlap="1">
              <wp:simplePos x="0" y="0"/>
              <wp:positionH relativeFrom="column">
                <wp:posOffset>-3810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3pt;margin-top:54.35pt;height:0pt;width:442.55pt;z-index:251660288;mso-width-relative:page;mso-height-relative:page;" filled="f" stroked="t" coordsize="21600,21600" o:gfxdata="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1EdA1tUAAAAJAQAADwAAAAAAAAABACAAAAAiAAAAZHJzL2Rvd25yZXYueG1sUEsBAhQAFAAA&#10;AAgAh07iQAXuux7yAQAAvQMAAA4AAAAAAAAAAQAgAAAAJAEAAGRycy9lMm9Eb2MueG1sUEsFBgAA&#10;AAAGAAYAWQEAAIgFAAAAAA==&#10;">
              <v:fill on="f" focussize="0,0"/>
              <v:stroke weight="1.75pt" color="#005192 [3204]" miterlimit="8" joinstyle="miter"/>
              <v:imagedata o:title=""/>
              <o:lock v:ext="edit" aspectratio="f"/>
            </v:line>
          </w:pict>
        </mc:Fallback>
      </mc:AlternateContent>
    </w:r>
  </w:p>
  <w:p>
    <w:pPr>
      <w:pStyle w:val="4"/>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szCs w:val="32"/>
        <w:lang w:val="en-US" w:eastAsia="zh-CN"/>
      </w:rPr>
    </w:pPr>
    <w:r>
      <w:rPr>
        <w:rFonts w:hint="eastAsia" w:ascii="宋体" w:hAnsi="宋体" w:eastAsia="宋体" w:cs="宋体"/>
        <w:b/>
        <w:bCs/>
        <w:color w:val="005192"/>
        <w:sz w:val="32"/>
      </w:rPr>
      <w:drawing>
        <wp:inline distT="0" distB="0" distL="114300" distR="114300">
          <wp:extent cx="308610" cy="308610"/>
          <wp:effectExtent l="0" t="0" r="11430" b="11430"/>
          <wp:docPr id="6"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lang w:val="en-US" w:eastAsia="zh-CN"/>
      </w:rPr>
      <w:t>河南省人民政府</w:t>
    </w:r>
    <w:r>
      <w:rPr>
        <w:rFonts w:hint="eastAsia" w:ascii="宋体" w:hAnsi="宋体" w:eastAsia="宋体" w:cs="宋体"/>
        <w:b/>
        <w:bCs/>
        <w:color w:val="005192"/>
        <w:sz w:val="32"/>
        <w:szCs w:val="32"/>
        <w:lang w:val="en-US" w:eastAsia="zh-CN"/>
      </w:rPr>
      <w:t>规章</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g4YjMwZDQzNDVjZjg0ODBkYmVlYWZhNTJkZDBiM2EifQ=="/>
  </w:docVars>
  <w:rsids>
    <w:rsidRoot w:val="00172A27"/>
    <w:rsid w:val="019E71BD"/>
    <w:rsid w:val="01B72A39"/>
    <w:rsid w:val="048A3493"/>
    <w:rsid w:val="04B679C3"/>
    <w:rsid w:val="080F63D8"/>
    <w:rsid w:val="09341458"/>
    <w:rsid w:val="0B0912D7"/>
    <w:rsid w:val="0BEB7E37"/>
    <w:rsid w:val="142949C6"/>
    <w:rsid w:val="152D2DCA"/>
    <w:rsid w:val="153B0F5F"/>
    <w:rsid w:val="1568690A"/>
    <w:rsid w:val="1616397D"/>
    <w:rsid w:val="17C84600"/>
    <w:rsid w:val="1A864EA8"/>
    <w:rsid w:val="1DEC284C"/>
    <w:rsid w:val="1E6523AC"/>
    <w:rsid w:val="22440422"/>
    <w:rsid w:val="290D78F9"/>
    <w:rsid w:val="29902043"/>
    <w:rsid w:val="31A15F24"/>
    <w:rsid w:val="33ED4B54"/>
    <w:rsid w:val="395347B5"/>
    <w:rsid w:val="39A232A0"/>
    <w:rsid w:val="39E745AA"/>
    <w:rsid w:val="3AED3866"/>
    <w:rsid w:val="3B5A6BBB"/>
    <w:rsid w:val="3B5F40BD"/>
    <w:rsid w:val="3C895273"/>
    <w:rsid w:val="3EDA13A6"/>
    <w:rsid w:val="409E221E"/>
    <w:rsid w:val="42F058B7"/>
    <w:rsid w:val="42FB23F7"/>
    <w:rsid w:val="436109F6"/>
    <w:rsid w:val="441A38D4"/>
    <w:rsid w:val="44421112"/>
    <w:rsid w:val="4B400D90"/>
    <w:rsid w:val="4BC77339"/>
    <w:rsid w:val="4C9236C5"/>
    <w:rsid w:val="4D65469D"/>
    <w:rsid w:val="505C172E"/>
    <w:rsid w:val="52F46F0B"/>
    <w:rsid w:val="53D8014D"/>
    <w:rsid w:val="55E064E0"/>
    <w:rsid w:val="572C6D10"/>
    <w:rsid w:val="57972A53"/>
    <w:rsid w:val="579F7999"/>
    <w:rsid w:val="5BD26074"/>
    <w:rsid w:val="5C8B28D7"/>
    <w:rsid w:val="5DC34279"/>
    <w:rsid w:val="5F726611"/>
    <w:rsid w:val="608816D1"/>
    <w:rsid w:val="60EF4E7F"/>
    <w:rsid w:val="638B7F88"/>
    <w:rsid w:val="665233C1"/>
    <w:rsid w:val="681E30DE"/>
    <w:rsid w:val="6AD9688B"/>
    <w:rsid w:val="6D0E3F22"/>
    <w:rsid w:val="72163051"/>
    <w:rsid w:val="73FC39A7"/>
    <w:rsid w:val="759A04FF"/>
    <w:rsid w:val="7A2937AC"/>
    <w:rsid w:val="7A2A6126"/>
    <w:rsid w:val="7C9011D9"/>
    <w:rsid w:val="7DC651C5"/>
    <w:rsid w:val="7FCC283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autoRedefine/>
    <w:semiHidden/>
    <w:qFormat/>
    <w:uiPriority w:val="0"/>
  </w:style>
  <w:style w:type="table" w:default="1" w:styleId="6">
    <w:name w:val="Normal Table"/>
    <w:autoRedefine/>
    <w:semiHidden/>
    <w:qFormat/>
    <w:uiPriority w:val="0"/>
    <w:tblPr>
      <w:tblCellMar>
        <w:top w:w="0" w:type="dxa"/>
        <w:left w:w="108" w:type="dxa"/>
        <w:bottom w:w="0" w:type="dxa"/>
        <w:right w:w="108" w:type="dxa"/>
      </w:tblCellMar>
    </w:tblPr>
  </w:style>
  <w:style w:type="paragraph" w:styleId="2">
    <w:name w:val="annotation text"/>
    <w:basedOn w:val="1"/>
    <w:autoRedefine/>
    <w:qFormat/>
    <w:uiPriority w:val="0"/>
    <w:pPr>
      <w:jc w:val="left"/>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1</Lines>
  <Paragraphs>1</Paragraphs>
  <TotalTime>4</TotalTime>
  <ScaleCrop>false</ScaleCrop>
  <LinksUpToDate>false</LinksUpToDate>
  <CharactersWithSpaces>0</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2021-09-09T02:41:00Z</dcterms:created>
  <dc:creator>t</dc:creator>
  <cp:lastModifiedBy>星空</cp:lastModifiedBy>
  <cp:lastPrinted>2021-10-26T03:30:00Z</cp:lastPrinted>
  <dcterms:modified xsi:type="dcterms:W3CDTF">2023-12-27T10:48:54Z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D8D03AAAB12D4EA8931071712C3BAC16_13</vt:lpwstr>
  </property>
</Properties>
</file>