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eastAsiaTheme="minorEastAsia"/>
          <w:sz w:val="32"/>
          <w:szCs w:val="32"/>
          <w:lang w:eastAsia="zh-CN"/>
        </w:rPr>
      </w:pPr>
      <w:bookmarkStart w:id="0" w:name="_GoBack"/>
      <w:r>
        <w:rPr>
          <w:rFonts w:hint="eastAsia"/>
          <w:sz w:val="32"/>
          <w:szCs w:val="32"/>
          <w:lang w:eastAsia="zh-CN"/>
        </w:rPr>
        <w:t>督促食品经营单位落实食品安全主体责任，建立进货台账。</w:t>
      </w:r>
    </w:p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1" name="图片 1" descr="848e88823e9a7e9e1bad74cb9450c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48e88823e9a7e9e1bad74cb9450cc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、</w:t>
      </w: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jc w:val="center"/>
        <w:rPr>
          <w:rFonts w:hint="eastAsia"/>
          <w:lang w:eastAsia="zh-CN"/>
        </w:rPr>
      </w:pPr>
      <w:r>
        <w:rPr>
          <w:rFonts w:hint="eastAsia"/>
          <w:sz w:val="32"/>
          <w:szCs w:val="32"/>
          <w:lang w:eastAsia="zh-CN"/>
        </w:rPr>
        <w:t>日常检查辖区食品安全工作</w:t>
      </w:r>
    </w:p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064510"/>
            <wp:effectExtent l="0" t="0" r="12065" b="2540"/>
            <wp:docPr id="2" name="图片 2" descr="82bea49d675dd198bdd440f2df6f4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2bea49d675dd198bdd440f2df6f4f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4852670"/>
            <wp:effectExtent l="0" t="0" r="10160" b="5080"/>
            <wp:docPr id="4" name="图片 4" descr="1425747d22e2e8e84ee5ed5edb33e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425747d22e2e8e84ee5ed5edb33e9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85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954780"/>
            <wp:effectExtent l="0" t="0" r="3810" b="7620"/>
            <wp:docPr id="15" name="图片 15" descr="8b78dc06f34eb26249e5f516e2f8c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b78dc06f34eb26249e5f516e2f8cc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2962910"/>
            <wp:effectExtent l="0" t="0" r="10160" b="8890"/>
            <wp:docPr id="13" name="图片 13" descr="e5201a61e935772277a2f3adc381a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e5201a61e935772277a2f3adc381a8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6685" cy="3919855"/>
            <wp:effectExtent l="0" t="0" r="12065" b="4445"/>
            <wp:docPr id="10" name="图片 10" descr="8e50d077914528999fa5a754facd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e50d077914528999fa5a754facd36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2668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420" w:firstLineChars="200"/>
        <w:jc w:val="left"/>
        <w:rPr>
          <w:rFonts w:hint="eastAsia" w:eastAsiaTheme="minorEastAsia"/>
          <w:lang w:eastAsia="zh-CN"/>
        </w:rPr>
      </w:pPr>
    </w:p>
    <w:p>
      <w:pPr>
        <w:bidi w:val="0"/>
        <w:ind w:firstLine="560" w:firstLineChars="200"/>
        <w:jc w:val="left"/>
        <w:rPr>
          <w:rFonts w:hint="default" w:eastAsiaTheme="minor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eastAsia="zh-CN"/>
        </w:rPr>
        <w:t>对商户宣传自</w:t>
      </w:r>
      <w:r>
        <w:rPr>
          <w:rFonts w:hint="eastAsia"/>
          <w:sz w:val="28"/>
          <w:szCs w:val="36"/>
          <w:lang w:val="en-US" w:eastAsia="zh-CN"/>
        </w:rPr>
        <w:t>2023年12月1日起销售生鲜食用农产品禁止使用“生鲜灯”政策</w:t>
      </w:r>
    </w:p>
    <w:p>
      <w:pPr>
        <w:bidi w:val="0"/>
        <w:rPr>
          <w:rFonts w:hint="eastAsia" w:eastAsiaTheme="minorEastAsia"/>
          <w:lang w:eastAsia="zh-CN"/>
        </w:rPr>
      </w:pPr>
    </w:p>
    <w:p>
      <w:pPr>
        <w:bidi w:val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50335"/>
            <wp:effectExtent l="0" t="0" r="12065" b="12065"/>
            <wp:docPr id="3" name="图片 3" descr="8937da8995b773a905b7b8f3ef50e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937da8995b773a905b7b8f3ef50eb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 w:eastAsiaTheme="minorEastAsia"/>
          <w:lang w:eastAsia="zh-C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ZGQyYzY4YzNmMmY1ZmY4MGJmZTIzODgwZTczNWYifQ=="/>
  </w:docVars>
  <w:rsids>
    <w:rsidRoot w:val="2A0C5083"/>
    <w:rsid w:val="2A0C5083"/>
    <w:rsid w:val="2A78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2023-12-06T01:08:00Z</dcterms:created>
  <dc:creator>平凡</dc:creator>
  <cp:lastModifiedBy>水瓶座</cp:lastModifiedBy>
  <dcterms:modified xsi:type="dcterms:W3CDTF">2023-12-06T01:51:44Z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AE2E251740624960954E730F7FD72289_13</vt:lpwstr>
  </property>
</Properties>
</file>