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val="0"/>
        <w:overflowPunct/>
        <w:topLinePunct w:val="0"/>
        <w:autoSpaceDE/>
        <w:autoSpaceDN/>
        <w:bidi w:val="0"/>
        <w:adjustRightInd/>
        <w:snapToGrid/>
        <w:spacing w:before="0" w:beforeAutospacing="0" w:after="0" w:afterAutospacing="0" w:line="680" w:lineRule="exact"/>
        <w:ind w:left="0" w:right="0"/>
        <w:jc w:val="center"/>
        <w:textAlignment w:val="top"/>
        <w:rPr>
          <w:color w:val="auto"/>
          <w:sz w:val="44"/>
          <w:szCs w:val="44"/>
        </w:rPr>
      </w:pPr>
      <w:r>
        <w:rPr>
          <w:color w:val="auto"/>
          <w:sz w:val="44"/>
          <w:szCs w:val="44"/>
        </w:rPr>
        <w:t>《关于健全重特大疾病医疗保险和救助制度的实施意见》政策解读</w:t>
      </w:r>
    </w:p>
    <w:p>
      <w:pPr>
        <w:keepNext w:val="0"/>
        <w:keepLines w:val="0"/>
        <w:pageBreakBefore w:val="0"/>
        <w:kinsoku/>
        <w:overflowPunct/>
        <w:topLinePunct w:val="0"/>
        <w:autoSpaceDE/>
        <w:autoSpaceDN/>
        <w:bidi w:val="0"/>
        <w:adjustRightInd/>
        <w:snapToGrid/>
        <w:spacing w:line="680" w:lineRule="exact"/>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640" w:firstLineChars="20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为贯彻落实《国务院办公厅关于健全重特大疾病医疗保险和救助制度的意见》（国办发</w:t>
      </w:r>
      <w:r>
        <w:rPr>
          <w:rFonts w:hint="eastAsia" w:ascii="仿宋" w:hAnsi="仿宋" w:eastAsia="仿宋" w:cs="仿宋"/>
          <w:i w:val="0"/>
          <w:iCs w:val="0"/>
          <w:caps w:val="0"/>
          <w:color w:val="000000"/>
          <w:spacing w:val="0"/>
          <w:sz w:val="32"/>
          <w:szCs w:val="32"/>
          <w:shd w:val="clear" w:fill="FFFFFF"/>
          <w:lang w:val="en-US" w:eastAsia="zh-CN"/>
        </w:rPr>
        <w:t>[2021]</w:t>
      </w:r>
      <w:r>
        <w:rPr>
          <w:rFonts w:hint="eastAsia" w:ascii="仿宋" w:hAnsi="仿宋" w:eastAsia="仿宋" w:cs="仿宋"/>
          <w:i w:val="0"/>
          <w:iCs w:val="0"/>
          <w:caps w:val="0"/>
          <w:color w:val="000000"/>
          <w:spacing w:val="0"/>
          <w:sz w:val="32"/>
          <w:szCs w:val="32"/>
          <w:shd w:val="clear" w:fill="FFFFFF"/>
        </w:rPr>
        <w:t>42号）</w:t>
      </w:r>
      <w:r>
        <w:rPr>
          <w:rFonts w:hint="eastAsia" w:ascii="仿宋" w:hAnsi="仿宋" w:eastAsia="仿宋" w:cs="仿宋"/>
          <w:i w:val="0"/>
          <w:iCs w:val="0"/>
          <w:caps w:val="0"/>
          <w:color w:val="000000"/>
          <w:spacing w:val="0"/>
          <w:sz w:val="32"/>
          <w:szCs w:val="32"/>
          <w:shd w:val="clear" w:fill="FFFFFF"/>
          <w:lang w:eastAsia="zh-CN"/>
        </w:rPr>
        <w:t>和《河南省人民政府办公厅关于健全重特大疾病医疗保险和救助制度的实施意见》（豫政办</w:t>
      </w:r>
      <w:r>
        <w:rPr>
          <w:rFonts w:hint="eastAsia" w:ascii="仿宋" w:hAnsi="仿宋" w:eastAsia="仿宋" w:cs="仿宋"/>
          <w:i w:val="0"/>
          <w:iCs w:val="0"/>
          <w:caps w:val="0"/>
          <w:color w:val="000000"/>
          <w:spacing w:val="0"/>
          <w:sz w:val="32"/>
          <w:szCs w:val="32"/>
          <w:shd w:val="clear" w:fill="FFFFFF"/>
          <w:lang w:val="en-US" w:eastAsia="zh-CN"/>
        </w:rPr>
        <w:t>[2022]26号</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，做好我</w:t>
      </w:r>
      <w:r>
        <w:rPr>
          <w:rFonts w:hint="eastAsia" w:ascii="仿宋" w:hAnsi="仿宋" w:eastAsia="仿宋" w:cs="仿宋"/>
          <w:i w:val="0"/>
          <w:iCs w:val="0"/>
          <w:caps w:val="0"/>
          <w:color w:val="000000"/>
          <w:spacing w:val="0"/>
          <w:sz w:val="32"/>
          <w:szCs w:val="32"/>
          <w:shd w:val="clear" w:fill="FFFFFF"/>
          <w:lang w:eastAsia="zh-CN"/>
        </w:rPr>
        <w:t>市</w:t>
      </w:r>
      <w:r>
        <w:rPr>
          <w:rFonts w:hint="eastAsia" w:ascii="仿宋" w:hAnsi="仿宋" w:eastAsia="仿宋" w:cs="仿宋"/>
          <w:i w:val="0"/>
          <w:iCs w:val="0"/>
          <w:caps w:val="0"/>
          <w:color w:val="000000"/>
          <w:spacing w:val="0"/>
          <w:sz w:val="32"/>
          <w:szCs w:val="32"/>
          <w:shd w:val="clear" w:fill="FFFFFF"/>
        </w:rPr>
        <w:t>困难群众重特大疾病医疗保障，防范因病致贫返贫，筑牢民生保障底线，</w:t>
      </w:r>
      <w:r>
        <w:rPr>
          <w:rFonts w:hint="eastAsia" w:ascii="仿宋" w:hAnsi="仿宋" w:eastAsia="仿宋" w:cs="仿宋"/>
          <w:i w:val="0"/>
          <w:iCs w:val="0"/>
          <w:caps w:val="0"/>
          <w:color w:val="000000"/>
          <w:spacing w:val="0"/>
          <w:sz w:val="32"/>
          <w:szCs w:val="32"/>
          <w:shd w:val="clear" w:fill="FFFFFF"/>
          <w:lang w:eastAsia="zh-CN"/>
        </w:rPr>
        <w:t>市</w:t>
      </w:r>
      <w:r>
        <w:rPr>
          <w:rFonts w:hint="eastAsia" w:ascii="仿宋" w:hAnsi="仿宋" w:eastAsia="仿宋" w:cs="仿宋"/>
          <w:i w:val="0"/>
          <w:iCs w:val="0"/>
          <w:caps w:val="0"/>
          <w:color w:val="000000"/>
          <w:spacing w:val="0"/>
          <w:sz w:val="32"/>
          <w:szCs w:val="32"/>
          <w:shd w:val="clear" w:fill="FFFFFF"/>
        </w:rPr>
        <w:t>政府</w:t>
      </w:r>
      <w:r>
        <w:rPr>
          <w:rFonts w:hint="eastAsia" w:ascii="仿宋" w:hAnsi="仿宋" w:eastAsia="仿宋" w:cs="仿宋"/>
          <w:i w:val="0"/>
          <w:iCs w:val="0"/>
          <w:caps w:val="0"/>
          <w:color w:val="000000"/>
          <w:spacing w:val="0"/>
          <w:sz w:val="32"/>
          <w:szCs w:val="32"/>
          <w:shd w:val="clear" w:fill="FFFFFF"/>
          <w:lang w:eastAsia="zh-CN"/>
        </w:rPr>
        <w:t>办公室</w:t>
      </w:r>
      <w:r>
        <w:rPr>
          <w:rFonts w:hint="eastAsia" w:ascii="仿宋" w:hAnsi="仿宋" w:eastAsia="仿宋" w:cs="仿宋"/>
          <w:i w:val="0"/>
          <w:iCs w:val="0"/>
          <w:caps w:val="0"/>
          <w:color w:val="000000"/>
          <w:spacing w:val="0"/>
          <w:sz w:val="32"/>
          <w:szCs w:val="32"/>
          <w:shd w:val="clear" w:fill="FFFFFF"/>
        </w:rPr>
        <w:t>印发了《关于健全重特大疾病医疗保险和救助制度的实施意见》（以下简称《实施意见》），现就有关政策解读如下。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一、出台的背景</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党的十八大以来，按照党中央国务院</w:t>
      </w:r>
      <w:r>
        <w:rPr>
          <w:rFonts w:hint="eastAsia" w:ascii="仿宋" w:hAnsi="仿宋" w:eastAsia="仿宋" w:cs="仿宋"/>
          <w:i w:val="0"/>
          <w:iCs w:val="0"/>
          <w:caps w:val="0"/>
          <w:color w:val="000000"/>
          <w:spacing w:val="0"/>
          <w:sz w:val="32"/>
          <w:szCs w:val="32"/>
          <w:shd w:val="clear" w:fill="FFFFFF"/>
          <w:lang w:eastAsia="zh-CN"/>
        </w:rPr>
        <w:t>和</w:t>
      </w:r>
      <w:r>
        <w:rPr>
          <w:rFonts w:hint="eastAsia" w:ascii="仿宋" w:hAnsi="仿宋" w:eastAsia="仿宋" w:cs="仿宋"/>
          <w:i w:val="0"/>
          <w:iCs w:val="0"/>
          <w:caps w:val="0"/>
          <w:color w:val="000000"/>
          <w:spacing w:val="0"/>
          <w:sz w:val="32"/>
          <w:szCs w:val="32"/>
          <w:shd w:val="clear" w:fill="FFFFFF"/>
        </w:rPr>
        <w:t>省委省政府</w:t>
      </w:r>
      <w:r>
        <w:rPr>
          <w:rFonts w:hint="eastAsia" w:ascii="仿宋" w:hAnsi="仿宋" w:eastAsia="仿宋" w:cs="仿宋"/>
          <w:i w:val="0"/>
          <w:iCs w:val="0"/>
          <w:caps w:val="0"/>
          <w:color w:val="000000"/>
          <w:spacing w:val="0"/>
          <w:sz w:val="32"/>
          <w:szCs w:val="32"/>
          <w:shd w:val="clear" w:fill="FFFFFF"/>
          <w:lang w:eastAsia="zh-CN"/>
        </w:rPr>
        <w:t>及市委市政府</w:t>
      </w:r>
      <w:r>
        <w:rPr>
          <w:rFonts w:hint="eastAsia" w:ascii="仿宋" w:hAnsi="仿宋" w:eastAsia="仿宋" w:cs="仿宋"/>
          <w:i w:val="0"/>
          <w:iCs w:val="0"/>
          <w:caps w:val="0"/>
          <w:color w:val="000000"/>
          <w:spacing w:val="0"/>
          <w:sz w:val="32"/>
          <w:szCs w:val="32"/>
          <w:shd w:val="clear" w:fill="FFFFFF"/>
        </w:rPr>
        <w:t>决策部署，我</w:t>
      </w:r>
      <w:r>
        <w:rPr>
          <w:rFonts w:hint="eastAsia" w:ascii="仿宋" w:hAnsi="仿宋" w:eastAsia="仿宋" w:cs="仿宋"/>
          <w:i w:val="0"/>
          <w:iCs w:val="0"/>
          <w:caps w:val="0"/>
          <w:color w:val="000000"/>
          <w:spacing w:val="0"/>
          <w:sz w:val="32"/>
          <w:szCs w:val="32"/>
          <w:shd w:val="clear" w:fill="FFFFFF"/>
          <w:lang w:eastAsia="zh-CN"/>
        </w:rPr>
        <w:t>市</w:t>
      </w:r>
      <w:r>
        <w:rPr>
          <w:rFonts w:hint="eastAsia" w:ascii="仿宋" w:hAnsi="仿宋" w:eastAsia="仿宋" w:cs="仿宋"/>
          <w:i w:val="0"/>
          <w:iCs w:val="0"/>
          <w:caps w:val="0"/>
          <w:color w:val="000000"/>
          <w:spacing w:val="0"/>
          <w:sz w:val="32"/>
          <w:szCs w:val="32"/>
          <w:shd w:val="clear" w:fill="FFFFFF"/>
        </w:rPr>
        <w:t>持续推进多层次医疗保障制度体系建设，通过完善城乡统一的居民基本医疗保险和大病保险制度，统筹城乡医疗救助制度，健全门诊共济保障机制，实施药品集中带量采购等，持续降低群众就医费用负担，参保群众基本医疗保障需求得到较好满足。随着经济社会发展、医疗科学技术进步、群众就医需求释放，医疗保障领域发展不平衡不充分问题日益显现，还存在托底保障功能不足、救助不及时不充分、一些大病重病患者负担较重等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Fonts w:hint="eastAsia" w:ascii="仿宋" w:hAnsi="仿宋" w:eastAsia="仿宋" w:cs="仿宋"/>
          <w:i w:val="0"/>
          <w:iCs w:val="0"/>
          <w:caps w:val="0"/>
          <w:color w:val="000000"/>
          <w:spacing w:val="0"/>
          <w:sz w:val="32"/>
          <w:szCs w:val="32"/>
          <w:shd w:val="clear" w:fill="FFFFFF"/>
          <w:lang w:eastAsia="zh-CN"/>
        </w:rPr>
        <w:t>市委市政府</w:t>
      </w:r>
      <w:r>
        <w:rPr>
          <w:rFonts w:hint="eastAsia" w:ascii="仿宋" w:hAnsi="仿宋" w:eastAsia="仿宋" w:cs="仿宋"/>
          <w:i w:val="0"/>
          <w:iCs w:val="0"/>
          <w:caps w:val="0"/>
          <w:color w:val="000000"/>
          <w:spacing w:val="0"/>
          <w:sz w:val="32"/>
          <w:szCs w:val="32"/>
          <w:shd w:val="clear" w:fill="FFFFFF"/>
        </w:rPr>
        <w:t>高度重视困难群众和大病患者医疗保障工作。2020年以来，先后在深化医疗保障制度改革、完善社会救助制度、巩固拓展脱贫攻坚成果同乡村振兴有效衔接等工作中对防范因病致贫返贫风险、筑牢民生保障底线作出安排部署，要求切实减轻重特大疾病患者医疗费用负担，解除人民群众疾病医疗费用后顾之忧。《实施意见》聚焦减轻困难群众重特大疾病医疗费用负担，有利于补齐保障短板、解决保障不足等问题，持续增强群众幸福感、获得感、安全感。</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二、目标任务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实施意见》强调以人民为中心，坚持共同富裕方向，坚持应保尽保、保障基本，坚持尽力而为、量力而行。聚焦减轻困难群众重特大疾病医疗费用负担，建立防范和化解因病致贫返贫长效机制，健全统一规范的医疗救助制度，强化基本医疗保险、大病保险、医疗救助综合保障，实事求是确定困难群众医疗保障待遇标准，确保困难群众基本医疗有保障，不因罹患重特大疾病影响基本生活。</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三、明确医疗救助对象范围和救助待遇水平</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《实施意见》紧扣医疗救助托底“保障谁”“如何托”“托到什么程度”等问题，明确了具体措施。</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一）科学确定医疗救助对象范围。根据救助对象类别实施分类救助，对特困人员、低保对象、返贫致贫人口、低保边缘家庭成员和纳入监测范围的农村易返贫致贫人口（以下简称农村易返贫致贫人口）按规定给予救助，对因病致贫重病患者根据实际给予一定救助。因病致贫重病患者是指不符合低保、特困人员救助供养或低保边缘家庭条件，但因高额医疗费用支出导致家庭基本生活出现严重困难的大病患者，综合考虑家庭经济状况、医疗费用支出、医疗保险支付等情况，</w:t>
      </w:r>
      <w:r>
        <w:rPr>
          <w:rFonts w:hint="eastAsia" w:ascii="仿宋" w:hAnsi="仿宋" w:eastAsia="仿宋" w:cs="仿宋"/>
          <w:i w:val="0"/>
          <w:iCs w:val="0"/>
          <w:caps w:val="0"/>
          <w:color w:val="000000"/>
          <w:spacing w:val="0"/>
          <w:sz w:val="32"/>
          <w:szCs w:val="32"/>
          <w:shd w:val="clear" w:fill="FFFFFF"/>
          <w:lang w:eastAsia="zh-CN"/>
        </w:rPr>
        <w:t>遵照省定标准准确认定</w:t>
      </w:r>
      <w:r>
        <w:rPr>
          <w:rFonts w:hint="eastAsia" w:ascii="仿宋" w:hAnsi="仿宋" w:eastAsia="仿宋" w:cs="仿宋"/>
          <w:i w:val="0"/>
          <w:iCs w:val="0"/>
          <w:caps w:val="0"/>
          <w:color w:val="000000"/>
          <w:spacing w:val="0"/>
          <w:sz w:val="32"/>
          <w:szCs w:val="32"/>
          <w:shd w:val="clear" w:fill="FFFFFF"/>
        </w:rPr>
        <w:t>因病致贫重病患者。县级以上政府规定的其他特殊困难人员，按上述救助对象类别给予相应救助。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640"/>
        <w:textAlignment w:val="top"/>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（二）分类资助参保。全额资助特困人员</w:t>
      </w:r>
      <w:r>
        <w:rPr>
          <w:rFonts w:hint="eastAsia" w:ascii="仿宋" w:hAnsi="仿宋" w:eastAsia="仿宋" w:cs="仿宋"/>
          <w:i w:val="0"/>
          <w:iCs w:val="0"/>
          <w:caps w:val="0"/>
          <w:color w:val="000000"/>
          <w:spacing w:val="0"/>
          <w:sz w:val="32"/>
          <w:szCs w:val="32"/>
          <w:shd w:val="clear" w:fill="FFFFFF"/>
          <w:lang w:val="en-US" w:eastAsia="zh-CN"/>
        </w:rPr>
        <w:t>;</w:t>
      </w:r>
      <w:r>
        <w:rPr>
          <w:rFonts w:hint="eastAsia" w:ascii="仿宋" w:hAnsi="仿宋" w:eastAsia="仿宋" w:cs="仿宋"/>
          <w:i w:val="0"/>
          <w:iCs w:val="0"/>
          <w:caps w:val="0"/>
          <w:color w:val="000000"/>
          <w:spacing w:val="0"/>
          <w:sz w:val="32"/>
          <w:szCs w:val="32"/>
          <w:shd w:val="clear" w:fill="FFFFFF"/>
        </w:rPr>
        <w:t>定额资助低保对象和返贫致贫人口</w:t>
      </w:r>
      <w:r>
        <w:rPr>
          <w:rFonts w:hint="eastAsia" w:ascii="仿宋" w:hAnsi="仿宋" w:eastAsia="仿宋" w:cs="仿宋"/>
          <w:i w:val="0"/>
          <w:iCs w:val="0"/>
          <w:caps w:val="0"/>
          <w:color w:val="000000"/>
          <w:spacing w:val="0"/>
          <w:sz w:val="32"/>
          <w:szCs w:val="32"/>
          <w:shd w:val="clear" w:fill="FFFFFF"/>
          <w:lang w:val="en-US" w:eastAsia="zh-CN"/>
        </w:rPr>
        <w:t>,</w:t>
      </w:r>
      <w:r>
        <w:rPr>
          <w:rFonts w:hint="default" w:ascii="Times New Roman" w:hAnsi="Times New Roman" w:eastAsia="仿宋_GB2312" w:cs="Times New Roman"/>
          <w:b w:val="0"/>
          <w:bCs w:val="0"/>
          <w:sz w:val="32"/>
          <w:szCs w:val="32"/>
          <w:highlight w:val="none"/>
        </w:rPr>
        <w:t>定额资助标准</w:t>
      </w:r>
      <w:r>
        <w:rPr>
          <w:rFonts w:hint="default" w:ascii="Times New Roman" w:hAnsi="Times New Roman" w:eastAsia="仿宋_GB2312" w:cs="Times New Roman"/>
          <w:b w:val="0"/>
          <w:bCs w:val="0"/>
          <w:sz w:val="32"/>
          <w:szCs w:val="32"/>
          <w:highlight w:val="none"/>
          <w:lang w:eastAsia="zh-CN"/>
        </w:rPr>
        <w:t>为每人每年城乡居民基本医疗保险年度个人缴费标准的</w:t>
      </w:r>
      <w:r>
        <w:rPr>
          <w:rFonts w:hint="default" w:ascii="Times New Roman" w:hAnsi="Times New Roman" w:eastAsia="仿宋_GB2312" w:cs="Times New Roman"/>
          <w:b w:val="0"/>
          <w:bCs w:val="0"/>
          <w:sz w:val="32"/>
          <w:szCs w:val="32"/>
          <w:highlight w:val="none"/>
          <w:lang w:val="en-US" w:eastAsia="zh-CN"/>
        </w:rPr>
        <w:t>50%；</w:t>
      </w:r>
      <w:r>
        <w:rPr>
          <w:rFonts w:hint="eastAsia" w:ascii="仿宋" w:hAnsi="仿宋" w:eastAsia="仿宋" w:cs="仿宋"/>
          <w:i w:val="0"/>
          <w:iCs w:val="0"/>
          <w:caps w:val="0"/>
          <w:color w:val="000000"/>
          <w:spacing w:val="0"/>
          <w:sz w:val="32"/>
          <w:szCs w:val="32"/>
          <w:shd w:val="clear" w:fill="FFFFFF"/>
        </w:rPr>
        <w:t>农村易返贫致贫人口资助标准，按巩固拓展脱贫攻坚成果同乡村振兴有效衔接的政策规定执行。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64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（三）明确医疗救助费用保障范围。医疗救助费用主要覆盖救助对象在定点医药机构发生的住院费用、因慢性病需长期服药或患重特大疾病需长期门诊治疗的政策范围内费用。</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640"/>
        <w:textAlignment w:val="top"/>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（四）合理确定基本救助水平。按救助对象家庭困难情况，分类设定年度救助起付标准（以下简称起付标准）、救助比例、年度最高救助限额。具体如下：</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4"/>
        <w:gridCol w:w="1162"/>
        <w:gridCol w:w="1069"/>
        <w:gridCol w:w="1595"/>
        <w:gridCol w:w="1255"/>
        <w:gridCol w:w="994"/>
        <w:gridCol w:w="11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1324" w:type="dxa"/>
            <w:vMerge w:val="restart"/>
            <w:noWrap w:val="0"/>
            <w:vAlign w:val="center"/>
          </w:tcPr>
          <w:p>
            <w:pPr>
              <w:jc w:val="center"/>
              <w:rPr>
                <w:rFonts w:hint="eastAsia"/>
                <w:lang w:val="en" w:eastAsia="zh-CN"/>
              </w:rPr>
            </w:pPr>
            <w:r>
              <w:rPr>
                <w:rFonts w:hint="eastAsia"/>
                <w:lang w:val="en" w:eastAsia="zh-CN"/>
              </w:rPr>
              <w:t>救助对象</w:t>
            </w:r>
          </w:p>
        </w:tc>
        <w:tc>
          <w:tcPr>
            <w:tcW w:w="2231" w:type="dxa"/>
            <w:gridSpan w:val="2"/>
            <w:noWrap w:val="0"/>
            <w:vAlign w:val="center"/>
          </w:tcPr>
          <w:p>
            <w:pPr>
              <w:jc w:val="center"/>
              <w:rPr>
                <w:rFonts w:hint="eastAsia"/>
                <w:lang w:val="en" w:eastAsia="zh-CN"/>
              </w:rPr>
            </w:pPr>
            <w:r>
              <w:rPr>
                <w:rFonts w:hint="eastAsia"/>
                <w:lang w:val="en" w:eastAsia="zh-CN"/>
              </w:rPr>
              <w:t>门诊规定病种救助</w:t>
            </w:r>
          </w:p>
        </w:tc>
        <w:tc>
          <w:tcPr>
            <w:tcW w:w="2850" w:type="dxa"/>
            <w:gridSpan w:val="2"/>
            <w:noWrap w:val="0"/>
            <w:vAlign w:val="center"/>
          </w:tcPr>
          <w:p>
            <w:pPr>
              <w:jc w:val="center"/>
              <w:rPr>
                <w:rFonts w:hint="eastAsia"/>
                <w:lang w:val="en" w:eastAsia="zh-CN"/>
              </w:rPr>
            </w:pPr>
            <w:r>
              <w:rPr>
                <w:rFonts w:hint="eastAsia"/>
                <w:lang w:val="en" w:eastAsia="zh-CN"/>
              </w:rPr>
              <w:t>住院救助</w:t>
            </w:r>
          </w:p>
        </w:tc>
        <w:tc>
          <w:tcPr>
            <w:tcW w:w="2111" w:type="dxa"/>
            <w:gridSpan w:val="2"/>
            <w:vMerge w:val="restart"/>
            <w:noWrap w:val="0"/>
            <w:vAlign w:val="center"/>
          </w:tcPr>
          <w:p>
            <w:pPr>
              <w:jc w:val="center"/>
              <w:rPr>
                <w:rFonts w:hint="eastAsia"/>
                <w:lang w:val="en" w:eastAsia="zh-CN"/>
              </w:rPr>
            </w:pPr>
            <w:r>
              <w:rPr>
                <w:rFonts w:hint="eastAsia"/>
                <w:lang w:val="en" w:eastAsia="zh-CN"/>
              </w:rPr>
              <w:t>年度救助限额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324" w:type="dxa"/>
            <w:vMerge w:val="continue"/>
            <w:noWrap w:val="0"/>
            <w:vAlign w:val="center"/>
          </w:tcPr>
          <w:p>
            <w:pPr>
              <w:rPr>
                <w:rFonts w:hint="eastAsia"/>
                <w:lang w:val="en" w:eastAsia="zh-CN"/>
              </w:rPr>
            </w:pPr>
          </w:p>
        </w:tc>
        <w:tc>
          <w:tcPr>
            <w:tcW w:w="1162" w:type="dxa"/>
            <w:noWrap w:val="0"/>
            <w:vAlign w:val="center"/>
          </w:tcPr>
          <w:p>
            <w:pPr>
              <w:jc w:val="center"/>
              <w:rPr>
                <w:rFonts w:hint="eastAsia"/>
                <w:lang w:val="en" w:eastAsia="zh-CN"/>
              </w:rPr>
            </w:pPr>
            <w:r>
              <w:rPr>
                <w:rFonts w:hint="eastAsia"/>
                <w:lang w:val="en" w:eastAsia="zh-CN"/>
              </w:rPr>
              <w:t>起付</w:t>
            </w:r>
          </w:p>
          <w:p>
            <w:pPr>
              <w:jc w:val="center"/>
              <w:rPr>
                <w:rFonts w:hint="eastAsia"/>
                <w:lang w:val="en" w:eastAsia="zh-CN"/>
              </w:rPr>
            </w:pPr>
            <w:r>
              <w:rPr>
                <w:rFonts w:hint="eastAsia"/>
                <w:lang w:val="en" w:eastAsia="zh-CN"/>
              </w:rPr>
              <w:t>标准</w:t>
            </w:r>
          </w:p>
        </w:tc>
        <w:tc>
          <w:tcPr>
            <w:tcW w:w="1069" w:type="dxa"/>
            <w:noWrap w:val="0"/>
            <w:vAlign w:val="center"/>
          </w:tcPr>
          <w:p>
            <w:pPr>
              <w:jc w:val="center"/>
              <w:rPr>
                <w:rFonts w:hint="eastAsia"/>
                <w:lang w:val="en" w:eastAsia="zh-CN"/>
              </w:rPr>
            </w:pPr>
            <w:r>
              <w:rPr>
                <w:rFonts w:hint="eastAsia"/>
                <w:lang w:val="en" w:eastAsia="zh-CN"/>
              </w:rPr>
              <w:t>救助</w:t>
            </w:r>
          </w:p>
          <w:p>
            <w:pPr>
              <w:jc w:val="center"/>
              <w:rPr>
                <w:rFonts w:hint="eastAsia"/>
                <w:lang w:val="en" w:eastAsia="zh-CN"/>
              </w:rPr>
            </w:pPr>
            <w:r>
              <w:rPr>
                <w:rFonts w:hint="eastAsia"/>
                <w:lang w:val="en" w:eastAsia="zh-CN"/>
              </w:rPr>
              <w:t>比例</w:t>
            </w:r>
          </w:p>
        </w:tc>
        <w:tc>
          <w:tcPr>
            <w:tcW w:w="1595" w:type="dxa"/>
            <w:noWrap w:val="0"/>
            <w:vAlign w:val="center"/>
          </w:tcPr>
          <w:p>
            <w:pPr>
              <w:jc w:val="center"/>
              <w:rPr>
                <w:rFonts w:hint="eastAsia"/>
                <w:lang w:val="en" w:eastAsia="zh-CN"/>
              </w:rPr>
            </w:pPr>
            <w:r>
              <w:rPr>
                <w:rFonts w:hint="eastAsia"/>
                <w:lang w:val="en" w:eastAsia="zh-CN"/>
              </w:rPr>
              <w:t>起付</w:t>
            </w:r>
          </w:p>
          <w:p>
            <w:pPr>
              <w:jc w:val="center"/>
              <w:rPr>
                <w:rFonts w:hint="eastAsia"/>
                <w:lang w:val="en" w:eastAsia="zh-CN"/>
              </w:rPr>
            </w:pPr>
            <w:r>
              <w:rPr>
                <w:rFonts w:hint="eastAsia"/>
                <w:lang w:val="en" w:eastAsia="zh-CN"/>
              </w:rPr>
              <w:t>标准</w:t>
            </w:r>
          </w:p>
        </w:tc>
        <w:tc>
          <w:tcPr>
            <w:tcW w:w="1255" w:type="dxa"/>
            <w:noWrap w:val="0"/>
            <w:vAlign w:val="center"/>
          </w:tcPr>
          <w:p>
            <w:pPr>
              <w:jc w:val="center"/>
              <w:rPr>
                <w:rFonts w:hint="eastAsia"/>
                <w:lang w:val="en" w:eastAsia="zh-CN"/>
              </w:rPr>
            </w:pPr>
            <w:r>
              <w:rPr>
                <w:rFonts w:hint="eastAsia"/>
                <w:lang w:val="en" w:eastAsia="zh-CN"/>
              </w:rPr>
              <w:t>救助</w:t>
            </w:r>
          </w:p>
          <w:p>
            <w:pPr>
              <w:jc w:val="center"/>
              <w:rPr>
                <w:rFonts w:hint="eastAsia"/>
                <w:lang w:val="en" w:eastAsia="zh-CN"/>
              </w:rPr>
            </w:pPr>
            <w:r>
              <w:rPr>
                <w:rFonts w:hint="eastAsia"/>
                <w:lang w:val="en" w:eastAsia="zh-CN"/>
              </w:rPr>
              <w:t>比例</w:t>
            </w:r>
          </w:p>
        </w:tc>
        <w:tc>
          <w:tcPr>
            <w:tcW w:w="2111" w:type="dxa"/>
            <w:gridSpan w:val="2"/>
            <w:vMerge w:val="continue"/>
            <w:noWrap w:val="0"/>
            <w:vAlign w:val="center"/>
          </w:tcPr>
          <w:p>
            <w:pPr>
              <w:jc w:val="center"/>
              <w:rPr>
                <w:rFonts w:hint="eastAsia"/>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特困人员</w:t>
            </w:r>
          </w:p>
        </w:tc>
        <w:tc>
          <w:tcPr>
            <w:tcW w:w="1162" w:type="dxa"/>
            <w:vMerge w:val="restart"/>
            <w:shd w:val="clear" w:color="auto" w:fill="CFE8CC"/>
            <w:noWrap w:val="0"/>
            <w:vAlign w:val="center"/>
          </w:tcPr>
          <w:p>
            <w:pPr>
              <w:jc w:val="center"/>
              <w:rPr>
                <w:rFonts w:hint="eastAsia"/>
                <w:lang w:val="en" w:eastAsia="zh-CN"/>
              </w:rPr>
            </w:pPr>
            <w:r>
              <w:rPr>
                <w:rFonts w:hint="eastAsia"/>
                <w:lang w:val="en" w:eastAsia="zh-CN"/>
              </w:rPr>
              <w:t>无</w:t>
            </w:r>
          </w:p>
        </w:tc>
        <w:tc>
          <w:tcPr>
            <w:tcW w:w="1069" w:type="dxa"/>
            <w:vMerge w:val="restart"/>
            <w:shd w:val="clear" w:color="auto" w:fill="CFE8CC"/>
            <w:noWrap w:val="0"/>
            <w:vAlign w:val="center"/>
          </w:tcPr>
          <w:p>
            <w:pPr>
              <w:jc w:val="center"/>
              <w:rPr>
                <w:rFonts w:hint="eastAsia"/>
                <w:lang w:val="en" w:eastAsia="zh-CN"/>
              </w:rPr>
            </w:pPr>
            <w:r>
              <w:rPr>
                <w:rFonts w:hint="eastAsia"/>
                <w:lang w:val="en-US" w:eastAsia="zh-CN"/>
              </w:rPr>
              <w:t>50%</w:t>
            </w:r>
          </w:p>
        </w:tc>
        <w:tc>
          <w:tcPr>
            <w:tcW w:w="1595" w:type="dxa"/>
            <w:vMerge w:val="restart"/>
            <w:shd w:val="clear" w:color="auto" w:fill="CFE8CC"/>
            <w:noWrap w:val="0"/>
            <w:vAlign w:val="center"/>
          </w:tcPr>
          <w:p>
            <w:pPr>
              <w:jc w:val="center"/>
              <w:rPr>
                <w:rFonts w:hint="eastAsia"/>
                <w:lang w:val="en" w:eastAsia="zh-CN"/>
              </w:rPr>
            </w:pPr>
            <w:r>
              <w:rPr>
                <w:rFonts w:hint="eastAsia"/>
                <w:lang w:val="en" w:eastAsia="zh-CN"/>
              </w:rPr>
              <w:t>无</w:t>
            </w:r>
          </w:p>
          <w:p>
            <w:pPr>
              <w:jc w:val="center"/>
              <w:rPr>
                <w:rFonts w:hint="eastAsia"/>
                <w:lang w:val="en" w:eastAsia="zh-CN"/>
              </w:rPr>
            </w:pPr>
          </w:p>
        </w:tc>
        <w:tc>
          <w:tcPr>
            <w:tcW w:w="1255" w:type="dxa"/>
            <w:shd w:val="clear" w:color="auto" w:fill="CFE8CC"/>
            <w:noWrap w:val="0"/>
            <w:vAlign w:val="center"/>
          </w:tcPr>
          <w:p>
            <w:pPr>
              <w:jc w:val="center"/>
              <w:rPr>
                <w:rFonts w:hint="eastAsia"/>
                <w:lang w:val="en-US" w:eastAsia="zh-CN"/>
              </w:rPr>
            </w:pPr>
            <w:r>
              <w:rPr>
                <w:rFonts w:hint="eastAsia"/>
                <w:lang w:val="en-US" w:eastAsia="zh-CN"/>
              </w:rPr>
              <w:t>90%</w:t>
            </w:r>
          </w:p>
        </w:tc>
        <w:tc>
          <w:tcPr>
            <w:tcW w:w="994" w:type="dxa"/>
            <w:vMerge w:val="restart"/>
            <w:shd w:val="clear" w:color="auto" w:fill="CFE8CC"/>
            <w:noWrap w:val="0"/>
            <w:vAlign w:val="center"/>
          </w:tcPr>
          <w:p>
            <w:pPr>
              <w:jc w:val="center"/>
              <w:rPr>
                <w:rFonts w:hint="eastAsia"/>
                <w:lang w:val="en-US" w:eastAsia="zh-CN"/>
              </w:rPr>
            </w:pPr>
            <w:r>
              <w:rPr>
                <w:rFonts w:hint="eastAsia"/>
                <w:lang w:val="en-US" w:eastAsia="zh-CN"/>
              </w:rPr>
              <w:t>3万元</w:t>
            </w:r>
          </w:p>
        </w:tc>
        <w:tc>
          <w:tcPr>
            <w:tcW w:w="1117" w:type="dxa"/>
            <w:vMerge w:val="restart"/>
            <w:shd w:val="clear" w:color="auto" w:fill="CFE8CC"/>
            <w:noWrap w:val="0"/>
            <w:vAlign w:val="center"/>
          </w:tcPr>
          <w:p>
            <w:pPr>
              <w:jc w:val="center"/>
              <w:rPr>
                <w:rFonts w:hint="eastAsia"/>
                <w:lang w:val="en-US" w:eastAsia="zh-CN"/>
              </w:rPr>
            </w:pPr>
            <w:r>
              <w:rPr>
                <w:rFonts w:hint="eastAsia"/>
                <w:lang w:val="en-US" w:eastAsia="zh-CN"/>
              </w:rPr>
              <w:t>根据上级要求，结合我市救助基金筹集和使用情况，建立相关标准适时调整机制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低保对象</w:t>
            </w:r>
          </w:p>
        </w:tc>
        <w:tc>
          <w:tcPr>
            <w:tcW w:w="1162" w:type="dxa"/>
            <w:vMerge w:val="continue"/>
            <w:shd w:val="clear" w:color="auto" w:fill="CFE8CC"/>
            <w:noWrap w:val="0"/>
            <w:vAlign w:val="center"/>
          </w:tcPr>
          <w:p>
            <w:pPr>
              <w:jc w:val="center"/>
              <w:rPr>
                <w:rFonts w:hint="eastAsia"/>
                <w:lang w:val="en" w:eastAsia="zh-CN"/>
              </w:rPr>
            </w:pPr>
          </w:p>
        </w:tc>
        <w:tc>
          <w:tcPr>
            <w:tcW w:w="1069" w:type="dxa"/>
            <w:vMerge w:val="continue"/>
            <w:shd w:val="clear" w:color="auto" w:fill="CFE8CC"/>
            <w:noWrap w:val="0"/>
            <w:vAlign w:val="center"/>
          </w:tcPr>
          <w:p>
            <w:pPr>
              <w:jc w:val="center"/>
              <w:rPr>
                <w:rFonts w:hint="eastAsia"/>
                <w:lang w:val="en" w:eastAsia="zh-CN"/>
              </w:rPr>
            </w:pPr>
          </w:p>
        </w:tc>
        <w:tc>
          <w:tcPr>
            <w:tcW w:w="1595" w:type="dxa"/>
            <w:vMerge w:val="continue"/>
            <w:shd w:val="clear" w:color="auto" w:fill="CFE8CC"/>
            <w:noWrap w:val="0"/>
            <w:vAlign w:val="center"/>
          </w:tcPr>
          <w:p>
            <w:pPr>
              <w:jc w:val="center"/>
              <w:rPr>
                <w:rFonts w:hint="eastAsia"/>
                <w:lang w:val="en" w:eastAsia="zh-CN"/>
              </w:rPr>
            </w:pPr>
          </w:p>
        </w:tc>
        <w:tc>
          <w:tcPr>
            <w:tcW w:w="1255" w:type="dxa"/>
            <w:vMerge w:val="restart"/>
            <w:shd w:val="clear" w:color="auto" w:fill="CFE8CC"/>
            <w:noWrap w:val="0"/>
            <w:vAlign w:val="center"/>
          </w:tcPr>
          <w:p>
            <w:pPr>
              <w:jc w:val="center"/>
              <w:rPr>
                <w:rFonts w:hint="eastAsia"/>
                <w:lang w:val="en-US" w:eastAsia="zh-CN"/>
              </w:rPr>
            </w:pPr>
            <w:r>
              <w:rPr>
                <w:rFonts w:hint="eastAsia"/>
                <w:lang w:val="en-US" w:eastAsia="zh-CN"/>
              </w:rPr>
              <w:t>70%</w:t>
            </w:r>
          </w:p>
        </w:tc>
        <w:tc>
          <w:tcPr>
            <w:tcW w:w="994" w:type="dxa"/>
            <w:vMerge w:val="continue"/>
            <w:shd w:val="clear" w:color="auto" w:fill="CFE8CC"/>
            <w:noWrap w:val="0"/>
            <w:vAlign w:val="center"/>
          </w:tcPr>
          <w:p>
            <w:pPr>
              <w:rPr>
                <w:rFonts w:hint="eastAsia"/>
                <w:lang w:val="en" w:eastAsia="zh-CN"/>
              </w:rPr>
            </w:pPr>
          </w:p>
        </w:tc>
        <w:tc>
          <w:tcPr>
            <w:tcW w:w="1117" w:type="dxa"/>
            <w:vMerge w:val="continue"/>
            <w:shd w:val="clear" w:color="auto" w:fill="CFE8CC"/>
            <w:noWrap w:val="0"/>
            <w:vAlign w:val="center"/>
          </w:tcPr>
          <w:p>
            <w:pPr>
              <w:rPr>
                <w:rFonts w:hint="eastAsia"/>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返贫致贫人口</w:t>
            </w:r>
          </w:p>
        </w:tc>
        <w:tc>
          <w:tcPr>
            <w:tcW w:w="1162" w:type="dxa"/>
            <w:vMerge w:val="continue"/>
            <w:shd w:val="clear" w:color="auto" w:fill="CFE8CC"/>
            <w:noWrap w:val="0"/>
            <w:vAlign w:val="center"/>
          </w:tcPr>
          <w:p>
            <w:pPr>
              <w:jc w:val="center"/>
              <w:rPr>
                <w:rFonts w:hint="eastAsia"/>
                <w:lang w:val="en" w:eastAsia="zh-CN"/>
              </w:rPr>
            </w:pPr>
          </w:p>
        </w:tc>
        <w:tc>
          <w:tcPr>
            <w:tcW w:w="1069" w:type="dxa"/>
            <w:vMerge w:val="continue"/>
            <w:shd w:val="clear" w:color="auto" w:fill="CFE8CC"/>
            <w:noWrap w:val="0"/>
            <w:vAlign w:val="center"/>
          </w:tcPr>
          <w:p>
            <w:pPr>
              <w:jc w:val="center"/>
              <w:rPr>
                <w:rFonts w:hint="eastAsia"/>
                <w:lang w:val="en" w:eastAsia="zh-CN"/>
              </w:rPr>
            </w:pPr>
          </w:p>
        </w:tc>
        <w:tc>
          <w:tcPr>
            <w:tcW w:w="1595" w:type="dxa"/>
            <w:vMerge w:val="continue"/>
            <w:shd w:val="clear" w:color="auto" w:fill="CFE8CC"/>
            <w:noWrap w:val="0"/>
            <w:vAlign w:val="center"/>
          </w:tcPr>
          <w:p>
            <w:pPr>
              <w:jc w:val="center"/>
              <w:rPr>
                <w:rFonts w:hint="eastAsia"/>
                <w:lang w:val="en" w:eastAsia="zh-CN"/>
              </w:rPr>
            </w:pPr>
          </w:p>
        </w:tc>
        <w:tc>
          <w:tcPr>
            <w:tcW w:w="1255" w:type="dxa"/>
            <w:vMerge w:val="continue"/>
            <w:shd w:val="clear" w:color="auto" w:fill="CFE8CC"/>
            <w:noWrap w:val="0"/>
            <w:vAlign w:val="center"/>
          </w:tcPr>
          <w:p>
            <w:pPr>
              <w:rPr>
                <w:rFonts w:hint="eastAsia"/>
                <w:lang w:val="en-US" w:eastAsia="zh-CN"/>
              </w:rPr>
            </w:pPr>
          </w:p>
        </w:tc>
        <w:tc>
          <w:tcPr>
            <w:tcW w:w="994" w:type="dxa"/>
            <w:vMerge w:val="continue"/>
            <w:shd w:val="clear" w:color="auto" w:fill="CFE8CC"/>
            <w:noWrap w:val="0"/>
            <w:vAlign w:val="center"/>
          </w:tcPr>
          <w:p>
            <w:pPr>
              <w:rPr>
                <w:rFonts w:hint="eastAsia"/>
                <w:lang w:val="en" w:eastAsia="zh-CN"/>
              </w:rPr>
            </w:pPr>
          </w:p>
        </w:tc>
        <w:tc>
          <w:tcPr>
            <w:tcW w:w="1117" w:type="dxa"/>
            <w:vMerge w:val="continue"/>
            <w:shd w:val="clear" w:color="auto" w:fill="CFE8CC"/>
            <w:noWrap w:val="0"/>
            <w:vAlign w:val="center"/>
          </w:tcPr>
          <w:p>
            <w:pPr>
              <w:rPr>
                <w:rFonts w:hint="eastAsia"/>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低保边缘家庭成员</w:t>
            </w:r>
          </w:p>
        </w:tc>
        <w:tc>
          <w:tcPr>
            <w:tcW w:w="1162" w:type="dxa"/>
            <w:vMerge w:val="continue"/>
            <w:shd w:val="clear" w:color="auto" w:fill="CFE8CC"/>
            <w:noWrap w:val="0"/>
            <w:vAlign w:val="center"/>
          </w:tcPr>
          <w:p>
            <w:pPr>
              <w:jc w:val="center"/>
              <w:rPr>
                <w:rFonts w:hint="eastAsia"/>
                <w:lang w:val="en" w:eastAsia="zh-CN"/>
              </w:rPr>
            </w:pPr>
          </w:p>
        </w:tc>
        <w:tc>
          <w:tcPr>
            <w:tcW w:w="1069" w:type="dxa"/>
            <w:vMerge w:val="restart"/>
            <w:shd w:val="clear" w:color="auto" w:fill="CFE8CC"/>
            <w:noWrap w:val="0"/>
            <w:vAlign w:val="center"/>
          </w:tcPr>
          <w:p>
            <w:pPr>
              <w:jc w:val="center"/>
              <w:rPr>
                <w:rFonts w:hint="eastAsia"/>
                <w:lang w:val="en" w:eastAsia="zh-CN"/>
              </w:rPr>
            </w:pPr>
            <w:r>
              <w:rPr>
                <w:rFonts w:hint="eastAsia"/>
                <w:lang w:val="en-US" w:eastAsia="zh-CN"/>
              </w:rPr>
              <w:t>30%</w:t>
            </w:r>
          </w:p>
        </w:tc>
        <w:tc>
          <w:tcPr>
            <w:tcW w:w="1595" w:type="dxa"/>
            <w:vMerge w:val="restart"/>
            <w:shd w:val="clear" w:color="auto" w:fill="CFE8CC"/>
            <w:noWrap w:val="0"/>
            <w:vAlign w:val="center"/>
          </w:tcPr>
          <w:p>
            <w:pPr>
              <w:jc w:val="center"/>
              <w:rPr>
                <w:rFonts w:hint="eastAsia"/>
                <w:lang w:val="en" w:eastAsia="zh-CN"/>
              </w:rPr>
            </w:pPr>
            <w:r>
              <w:rPr>
                <w:rFonts w:hint="eastAsia"/>
                <w:lang w:val="en" w:eastAsia="zh-CN"/>
              </w:rPr>
              <w:t>按我市</w:t>
            </w:r>
            <w:r>
              <w:rPr>
                <w:rFonts w:hint="eastAsia"/>
                <w:lang w:val="en-US" w:eastAsia="zh-CN"/>
              </w:rPr>
              <w:t>2021</w:t>
            </w:r>
            <w:r>
              <w:rPr>
                <w:rFonts w:hint="eastAsia"/>
                <w:lang w:val="en" w:eastAsia="zh-CN"/>
              </w:rPr>
              <w:t>年度城乡居民人均可支配收入的10%左右确定（具体为</w:t>
            </w:r>
            <w:r>
              <w:rPr>
                <w:rFonts w:hint="eastAsia"/>
                <w:lang w:val="en-US" w:eastAsia="zh-CN"/>
              </w:rPr>
              <w:t>3000元</w:t>
            </w:r>
            <w:r>
              <w:rPr>
                <w:rFonts w:hint="eastAsia"/>
                <w:lang w:val="en" w:eastAsia="zh-CN"/>
              </w:rPr>
              <w:t>）</w:t>
            </w:r>
          </w:p>
        </w:tc>
        <w:tc>
          <w:tcPr>
            <w:tcW w:w="1255" w:type="dxa"/>
            <w:vMerge w:val="restart"/>
            <w:shd w:val="clear" w:color="auto" w:fill="CFE8CC"/>
            <w:noWrap w:val="0"/>
            <w:vAlign w:val="center"/>
          </w:tcPr>
          <w:p>
            <w:pPr>
              <w:jc w:val="center"/>
              <w:rPr>
                <w:rFonts w:hint="eastAsia"/>
                <w:lang w:val="en-US" w:eastAsia="zh-CN"/>
              </w:rPr>
            </w:pPr>
            <w:r>
              <w:rPr>
                <w:rFonts w:hint="default"/>
                <w:lang w:val="en" w:eastAsia="zh-CN"/>
              </w:rPr>
              <w:t>65</w:t>
            </w:r>
            <w:r>
              <w:rPr>
                <w:rFonts w:hint="eastAsia"/>
                <w:lang w:val="en-US" w:eastAsia="zh-CN"/>
              </w:rPr>
              <w:t>%</w:t>
            </w:r>
          </w:p>
        </w:tc>
        <w:tc>
          <w:tcPr>
            <w:tcW w:w="994" w:type="dxa"/>
            <w:vMerge w:val="restart"/>
            <w:shd w:val="clear" w:color="auto" w:fill="CFE8CC"/>
            <w:noWrap w:val="0"/>
            <w:vAlign w:val="center"/>
          </w:tcPr>
          <w:p>
            <w:pPr>
              <w:jc w:val="center"/>
              <w:rPr>
                <w:rFonts w:hint="eastAsia"/>
                <w:lang w:val="en-US" w:eastAsia="zh-CN"/>
              </w:rPr>
            </w:pPr>
            <w:r>
              <w:rPr>
                <w:rFonts w:hint="eastAsia"/>
                <w:lang w:val="en-US" w:eastAsia="zh-CN"/>
              </w:rPr>
              <w:t>1万元</w:t>
            </w:r>
          </w:p>
        </w:tc>
        <w:tc>
          <w:tcPr>
            <w:tcW w:w="1117" w:type="dxa"/>
            <w:vMerge w:val="continue"/>
            <w:shd w:val="clear" w:color="auto" w:fill="CFE8CC"/>
            <w:noWrap w:val="0"/>
            <w:vAlign w:val="center"/>
          </w:tcPr>
          <w:p>
            <w:pPr>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农村易返贫致贫人口</w:t>
            </w:r>
          </w:p>
        </w:tc>
        <w:tc>
          <w:tcPr>
            <w:tcW w:w="1162" w:type="dxa"/>
            <w:vMerge w:val="continue"/>
            <w:shd w:val="clear" w:color="auto" w:fill="CFE8CC"/>
            <w:noWrap w:val="0"/>
            <w:vAlign w:val="center"/>
          </w:tcPr>
          <w:p>
            <w:pPr>
              <w:jc w:val="center"/>
              <w:rPr>
                <w:rFonts w:hint="eastAsia"/>
                <w:lang w:val="en" w:eastAsia="zh-CN"/>
              </w:rPr>
            </w:pPr>
          </w:p>
        </w:tc>
        <w:tc>
          <w:tcPr>
            <w:tcW w:w="1069" w:type="dxa"/>
            <w:vMerge w:val="continue"/>
            <w:shd w:val="clear" w:color="auto" w:fill="CFE8CC"/>
            <w:noWrap w:val="0"/>
            <w:vAlign w:val="center"/>
          </w:tcPr>
          <w:p>
            <w:pPr>
              <w:jc w:val="center"/>
              <w:rPr>
                <w:rFonts w:hint="eastAsia"/>
                <w:lang w:val="en" w:eastAsia="zh-CN"/>
              </w:rPr>
            </w:pPr>
          </w:p>
        </w:tc>
        <w:tc>
          <w:tcPr>
            <w:tcW w:w="1595" w:type="dxa"/>
            <w:vMerge w:val="continue"/>
            <w:shd w:val="clear" w:color="auto" w:fill="CFE8CC"/>
            <w:noWrap w:val="0"/>
            <w:vAlign w:val="center"/>
          </w:tcPr>
          <w:p>
            <w:pPr>
              <w:jc w:val="center"/>
              <w:rPr>
                <w:rFonts w:hint="eastAsia"/>
                <w:lang w:val="en" w:eastAsia="zh-CN"/>
              </w:rPr>
            </w:pPr>
          </w:p>
        </w:tc>
        <w:tc>
          <w:tcPr>
            <w:tcW w:w="1255" w:type="dxa"/>
            <w:vMerge w:val="continue"/>
            <w:shd w:val="clear" w:color="auto" w:fill="CFE8CC"/>
            <w:noWrap w:val="0"/>
            <w:vAlign w:val="center"/>
          </w:tcPr>
          <w:p>
            <w:pPr>
              <w:rPr>
                <w:rFonts w:hint="eastAsia"/>
                <w:lang w:val="en" w:eastAsia="zh-CN"/>
              </w:rPr>
            </w:pPr>
          </w:p>
        </w:tc>
        <w:tc>
          <w:tcPr>
            <w:tcW w:w="994" w:type="dxa"/>
            <w:vMerge w:val="continue"/>
            <w:shd w:val="clear" w:color="auto" w:fill="CFE8CC"/>
            <w:noWrap w:val="0"/>
            <w:vAlign w:val="center"/>
          </w:tcPr>
          <w:p>
            <w:pPr>
              <w:rPr>
                <w:rFonts w:hint="eastAsia"/>
                <w:lang w:val="en" w:eastAsia="zh-CN"/>
              </w:rPr>
            </w:pPr>
          </w:p>
        </w:tc>
        <w:tc>
          <w:tcPr>
            <w:tcW w:w="1117" w:type="dxa"/>
            <w:vMerge w:val="continue"/>
            <w:shd w:val="clear" w:color="auto" w:fill="CFE8CC"/>
            <w:noWrap w:val="0"/>
            <w:vAlign w:val="center"/>
          </w:tcPr>
          <w:p>
            <w:pPr>
              <w:rPr>
                <w:rFonts w:hint="eastAsia"/>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jc w:val="center"/>
        </w:trPr>
        <w:tc>
          <w:tcPr>
            <w:tcW w:w="1324" w:type="dxa"/>
            <w:shd w:val="clear" w:color="auto" w:fill="CFE8CC"/>
            <w:noWrap w:val="0"/>
            <w:vAlign w:val="center"/>
          </w:tcPr>
          <w:p>
            <w:pPr>
              <w:jc w:val="center"/>
              <w:rPr>
                <w:rFonts w:hint="eastAsia"/>
                <w:lang w:val="en" w:eastAsia="zh-CN"/>
              </w:rPr>
            </w:pPr>
            <w:r>
              <w:rPr>
                <w:rFonts w:hint="eastAsia"/>
                <w:lang w:val="en" w:eastAsia="zh-CN"/>
              </w:rPr>
              <w:t>因病致贫重病患者</w:t>
            </w:r>
          </w:p>
        </w:tc>
        <w:tc>
          <w:tcPr>
            <w:tcW w:w="1162" w:type="dxa"/>
            <w:vMerge w:val="continue"/>
            <w:shd w:val="clear" w:color="auto" w:fill="CFE8CC"/>
            <w:noWrap w:val="0"/>
            <w:vAlign w:val="center"/>
          </w:tcPr>
          <w:p>
            <w:pPr>
              <w:jc w:val="center"/>
              <w:rPr>
                <w:rFonts w:hint="eastAsia"/>
                <w:lang w:val="en" w:eastAsia="zh-CN"/>
              </w:rPr>
            </w:pPr>
          </w:p>
        </w:tc>
        <w:tc>
          <w:tcPr>
            <w:tcW w:w="1069" w:type="dxa"/>
            <w:vMerge w:val="continue"/>
            <w:shd w:val="clear" w:color="auto" w:fill="CFE8CC"/>
            <w:noWrap w:val="0"/>
            <w:vAlign w:val="center"/>
          </w:tcPr>
          <w:p>
            <w:pPr>
              <w:jc w:val="center"/>
              <w:rPr>
                <w:rFonts w:hint="eastAsia"/>
                <w:lang w:val="en" w:eastAsia="zh-CN"/>
              </w:rPr>
            </w:pPr>
          </w:p>
        </w:tc>
        <w:tc>
          <w:tcPr>
            <w:tcW w:w="1595" w:type="dxa"/>
            <w:shd w:val="clear" w:color="auto" w:fill="CFE8CC"/>
            <w:noWrap w:val="0"/>
            <w:vAlign w:val="center"/>
          </w:tcPr>
          <w:p>
            <w:pPr>
              <w:jc w:val="center"/>
              <w:rPr>
                <w:rFonts w:hint="eastAsia"/>
                <w:lang w:val="en" w:eastAsia="zh-CN"/>
              </w:rPr>
            </w:pPr>
            <w:r>
              <w:rPr>
                <w:rFonts w:hint="eastAsia"/>
                <w:lang w:val="en" w:eastAsia="zh-CN"/>
              </w:rPr>
              <w:t>按我市</w:t>
            </w:r>
            <w:r>
              <w:rPr>
                <w:rFonts w:hint="eastAsia"/>
                <w:lang w:val="en-US" w:eastAsia="zh-CN"/>
              </w:rPr>
              <w:t>2021</w:t>
            </w:r>
            <w:r>
              <w:rPr>
                <w:rFonts w:hint="eastAsia"/>
                <w:lang w:val="en" w:eastAsia="zh-CN"/>
              </w:rPr>
              <w:t>年度城乡居民人均可支配收入的</w:t>
            </w:r>
            <w:r>
              <w:rPr>
                <w:rFonts w:hint="eastAsia"/>
                <w:lang w:val="en-US" w:eastAsia="zh-CN"/>
              </w:rPr>
              <w:t>25</w:t>
            </w:r>
            <w:r>
              <w:rPr>
                <w:rFonts w:hint="eastAsia"/>
                <w:lang w:val="en" w:eastAsia="zh-CN"/>
              </w:rPr>
              <w:t>%左右确定（具体为</w:t>
            </w:r>
            <w:r>
              <w:rPr>
                <w:rFonts w:hint="eastAsia"/>
                <w:lang w:val="en-US" w:eastAsia="zh-CN"/>
              </w:rPr>
              <w:t>7200元</w:t>
            </w:r>
            <w:r>
              <w:rPr>
                <w:rFonts w:hint="eastAsia"/>
                <w:lang w:val="en" w:eastAsia="zh-CN"/>
              </w:rPr>
              <w:t>）</w:t>
            </w:r>
          </w:p>
        </w:tc>
        <w:tc>
          <w:tcPr>
            <w:tcW w:w="1255" w:type="dxa"/>
            <w:vMerge w:val="continue"/>
            <w:shd w:val="clear" w:color="auto" w:fill="CFE8CC"/>
            <w:noWrap w:val="0"/>
            <w:vAlign w:val="center"/>
          </w:tcPr>
          <w:p>
            <w:pPr>
              <w:rPr>
                <w:rFonts w:hint="eastAsia"/>
                <w:lang w:val="en" w:eastAsia="zh-CN"/>
              </w:rPr>
            </w:pPr>
          </w:p>
        </w:tc>
        <w:tc>
          <w:tcPr>
            <w:tcW w:w="994" w:type="dxa"/>
            <w:vMerge w:val="continue"/>
            <w:shd w:val="clear" w:color="auto" w:fill="CFE8CC"/>
            <w:noWrap w:val="0"/>
            <w:vAlign w:val="center"/>
          </w:tcPr>
          <w:p>
            <w:pPr>
              <w:rPr>
                <w:rFonts w:hint="eastAsia"/>
                <w:lang w:val="en" w:eastAsia="zh-CN"/>
              </w:rPr>
            </w:pPr>
          </w:p>
        </w:tc>
        <w:tc>
          <w:tcPr>
            <w:tcW w:w="1117" w:type="dxa"/>
            <w:vMerge w:val="continue"/>
            <w:shd w:val="clear" w:color="auto" w:fill="CFE8CC"/>
            <w:noWrap w:val="0"/>
            <w:vAlign w:val="center"/>
          </w:tcPr>
          <w:p>
            <w:pPr>
              <w:rPr>
                <w:rFonts w:hint="eastAsia"/>
                <w:lang w:val="en" w:eastAsia="zh-CN"/>
              </w:rPr>
            </w:pPr>
          </w:p>
        </w:tc>
      </w:tr>
    </w:tbl>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shd w:val="clear" w:fill="FFFFFF"/>
        </w:rPr>
      </w:pPr>
      <w:r>
        <w:rPr>
          <w:rFonts w:hint="eastAsia" w:ascii="仿宋" w:hAnsi="仿宋" w:eastAsia="仿宋" w:cs="仿宋"/>
          <w:i w:val="0"/>
          <w:iCs w:val="0"/>
          <w:caps w:val="0"/>
          <w:color w:val="000000"/>
          <w:spacing w:val="0"/>
          <w:sz w:val="32"/>
          <w:szCs w:val="32"/>
          <w:shd w:val="clear" w:fill="FFFFFF"/>
        </w:rPr>
        <w:t>　　（五）倾斜救助。对规范转诊且在省域内就医的救助对象，救助金额达到年度最高救助限额，经三重制度综合保障后政策范围内自付医疗费用超过</w:t>
      </w:r>
      <w:r>
        <w:rPr>
          <w:rFonts w:hint="eastAsia" w:ascii="仿宋" w:hAnsi="仿宋" w:eastAsia="仿宋" w:cs="仿宋"/>
          <w:i w:val="0"/>
          <w:iCs w:val="0"/>
          <w:caps w:val="0"/>
          <w:color w:val="000000"/>
          <w:spacing w:val="0"/>
          <w:sz w:val="32"/>
          <w:szCs w:val="32"/>
          <w:shd w:val="clear" w:fill="FFFFFF"/>
          <w:lang w:eastAsia="zh-CN"/>
        </w:rPr>
        <w:t>我市</w:t>
      </w:r>
      <w:r>
        <w:rPr>
          <w:rFonts w:hint="eastAsia" w:ascii="仿宋" w:hAnsi="仿宋" w:eastAsia="仿宋" w:cs="仿宋"/>
          <w:i w:val="0"/>
          <w:iCs w:val="0"/>
          <w:caps w:val="0"/>
          <w:color w:val="000000"/>
          <w:spacing w:val="0"/>
          <w:sz w:val="32"/>
          <w:szCs w:val="32"/>
          <w:shd w:val="clear" w:fill="FFFFFF"/>
          <w:lang w:val="en-US" w:eastAsia="zh-CN"/>
        </w:rPr>
        <w:t>2021</w:t>
      </w:r>
      <w:r>
        <w:rPr>
          <w:rFonts w:hint="eastAsia" w:ascii="仿宋" w:hAnsi="仿宋" w:eastAsia="仿宋" w:cs="仿宋"/>
          <w:i w:val="0"/>
          <w:iCs w:val="0"/>
          <w:caps w:val="0"/>
          <w:color w:val="000000"/>
          <w:spacing w:val="0"/>
          <w:sz w:val="32"/>
          <w:szCs w:val="32"/>
          <w:shd w:val="clear" w:fill="FFFFFF"/>
        </w:rPr>
        <w:t>年度城乡居民人均可支配收入50%以上的部分</w:t>
      </w:r>
      <w:r>
        <w:rPr>
          <w:rFonts w:hint="eastAsia" w:ascii="仿宋" w:hAnsi="仿宋" w:eastAsia="仿宋" w:cs="仿宋"/>
          <w:i w:val="0"/>
          <w:iCs w:val="0"/>
          <w:caps w:val="0"/>
          <w:color w:val="000000"/>
          <w:spacing w:val="0"/>
          <w:sz w:val="32"/>
          <w:szCs w:val="32"/>
          <w:shd w:val="clear" w:fill="FFFFFF"/>
          <w:lang w:eastAsia="zh-CN"/>
        </w:rPr>
        <w:t>（超过</w:t>
      </w:r>
      <w:r>
        <w:rPr>
          <w:rFonts w:hint="eastAsia" w:ascii="仿宋" w:hAnsi="仿宋" w:eastAsia="仿宋" w:cs="仿宋"/>
          <w:i w:val="0"/>
          <w:iCs w:val="0"/>
          <w:caps w:val="0"/>
          <w:color w:val="000000"/>
          <w:spacing w:val="0"/>
          <w:sz w:val="32"/>
          <w:szCs w:val="32"/>
          <w:shd w:val="clear" w:fill="FFFFFF"/>
          <w:lang w:val="en-US" w:eastAsia="zh-CN"/>
        </w:rPr>
        <w:t>14500元</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，给予60%的倾斜救助，年度最高救助限额为1万元。</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640" w:firstLineChars="20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六）其他事项。救助对象参加职工基本医疗保险的，对其经基本医疗保险、大额医疗费补充保险等支付后的政策范围内自付费用，参照上述标准按规定分类给予救助。对由于个人原因未参加基本医疗保险的救助对象，医疗救助按基本医疗保险、大病保险预计支付后的政策范围内自付费用给予救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四、统筹强化三重制度综合保障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《实施意见》规范了三重制度保障功能定位，理顺了制度衔接次序，明确了相关工作要求。</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（一）基本医疗保险。全面落实居民基本医疗保险公平普惠政策，</w:t>
      </w:r>
      <w:r>
        <w:rPr>
          <w:rFonts w:hint="eastAsia" w:ascii="仿宋" w:hAnsi="仿宋" w:eastAsia="仿宋" w:cs="仿宋"/>
          <w:i w:val="0"/>
          <w:iCs w:val="0"/>
          <w:caps w:val="0"/>
          <w:color w:val="000000"/>
          <w:spacing w:val="0"/>
          <w:sz w:val="32"/>
          <w:szCs w:val="32"/>
          <w:shd w:val="clear" w:fill="FFFFFF"/>
          <w:lang w:eastAsia="zh-CN"/>
        </w:rPr>
        <w:t>我市</w:t>
      </w:r>
      <w:r>
        <w:rPr>
          <w:rFonts w:hint="eastAsia" w:ascii="仿宋" w:hAnsi="仿宋" w:eastAsia="仿宋" w:cs="仿宋"/>
          <w:i w:val="0"/>
          <w:iCs w:val="0"/>
          <w:caps w:val="0"/>
          <w:color w:val="000000"/>
          <w:spacing w:val="0"/>
          <w:sz w:val="32"/>
          <w:szCs w:val="32"/>
          <w:shd w:val="clear" w:fill="FFFFFF"/>
        </w:rPr>
        <w:t>参保人员享受同等的居民基本医疗保险门诊慢特病和住院待遇。</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二）大病保险。规范完善大病保险倾斜政策，大病保险政策倾斜对象调整为特困人员、低保对象和返贫致贫人口，其大病保险起付线较普通居民降低50%，分段支付比例较普通居民提高5个百分点，取消年度最高支付限额。</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（三）制度整合。自2022年1月1日起，将困难群众大病补充医疗保险制度并入医疗救助制度。自2022年5月1日起，同步实施居民基本医疗保险、大病保险、医疗救助待遇调整。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（四）制度衔接。促进三重制度互补衔接。按照“先保险后救助”的原则，对基本医疗保险、大病保险支付后个人医疗费用负担仍然较重的救助对象按规定实施救助，合力防范因病致贫返贫风险。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五、建立健全防范和化解因病致贫返贫长效机制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《实施意见》进一步明确健全防范和化解因病致贫返贫长效机制的工作抓手。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（一）强化预警监测。建立健全因病致贫返贫风险监测预警工作机制，强化高额医疗费用支出预警监测，重点监测经居民基本医疗保险、大病保险等支付后，政策范围内年度自付费用超过</w:t>
      </w:r>
      <w:r>
        <w:rPr>
          <w:rFonts w:hint="eastAsia" w:ascii="仿宋" w:hAnsi="仿宋" w:eastAsia="仿宋" w:cs="仿宋"/>
          <w:i w:val="0"/>
          <w:iCs w:val="0"/>
          <w:caps w:val="0"/>
          <w:color w:val="000000"/>
          <w:spacing w:val="0"/>
          <w:sz w:val="32"/>
          <w:szCs w:val="32"/>
          <w:shd w:val="clear" w:fill="FFFFFF"/>
          <w:lang w:eastAsia="zh-CN"/>
        </w:rPr>
        <w:t>我市</w:t>
      </w:r>
      <w:r>
        <w:rPr>
          <w:rFonts w:hint="eastAsia" w:ascii="仿宋" w:hAnsi="仿宋" w:eastAsia="仿宋" w:cs="仿宋"/>
          <w:i w:val="0"/>
          <w:iCs w:val="0"/>
          <w:caps w:val="0"/>
          <w:color w:val="000000"/>
          <w:spacing w:val="0"/>
          <w:sz w:val="32"/>
          <w:szCs w:val="32"/>
          <w:shd w:val="clear" w:fill="FFFFFF"/>
          <w:lang w:val="en-US" w:eastAsia="zh-CN"/>
        </w:rPr>
        <w:t>2021</w:t>
      </w:r>
      <w:r>
        <w:rPr>
          <w:rFonts w:hint="eastAsia" w:ascii="仿宋" w:hAnsi="仿宋" w:eastAsia="仿宋" w:cs="仿宋"/>
          <w:i w:val="0"/>
          <w:iCs w:val="0"/>
          <w:caps w:val="0"/>
          <w:color w:val="000000"/>
          <w:spacing w:val="0"/>
          <w:sz w:val="32"/>
          <w:szCs w:val="32"/>
          <w:shd w:val="clear" w:fill="FFFFFF"/>
        </w:rPr>
        <w:t>年度城乡居民人均可支配收入50%</w:t>
      </w:r>
      <w:r>
        <w:rPr>
          <w:rFonts w:hint="eastAsia" w:ascii="仿宋" w:hAnsi="仿宋" w:eastAsia="仿宋" w:cs="仿宋"/>
          <w:i w:val="0"/>
          <w:iCs w:val="0"/>
          <w:caps w:val="0"/>
          <w:color w:val="000000"/>
          <w:spacing w:val="0"/>
          <w:sz w:val="32"/>
          <w:szCs w:val="32"/>
          <w:shd w:val="clear" w:fill="FFFFFF"/>
          <w:lang w:eastAsia="zh-CN"/>
        </w:rPr>
        <w:t>（超过</w:t>
      </w:r>
      <w:r>
        <w:rPr>
          <w:rFonts w:hint="eastAsia" w:ascii="仿宋" w:hAnsi="仿宋" w:eastAsia="仿宋" w:cs="仿宋"/>
          <w:i w:val="0"/>
          <w:iCs w:val="0"/>
          <w:caps w:val="0"/>
          <w:color w:val="000000"/>
          <w:spacing w:val="0"/>
          <w:sz w:val="32"/>
          <w:szCs w:val="32"/>
          <w:shd w:val="clear" w:fill="FFFFFF"/>
          <w:lang w:val="en-US" w:eastAsia="zh-CN"/>
        </w:rPr>
        <w:t>14500元</w:t>
      </w:r>
      <w:r>
        <w:rPr>
          <w:rFonts w:hint="eastAsia" w:ascii="仿宋" w:hAnsi="仿宋" w:eastAsia="仿宋" w:cs="仿宋"/>
          <w:i w:val="0"/>
          <w:iCs w:val="0"/>
          <w:caps w:val="0"/>
          <w:color w:val="000000"/>
          <w:spacing w:val="0"/>
          <w:sz w:val="32"/>
          <w:szCs w:val="32"/>
          <w:shd w:val="clear" w:fill="FFFFFF"/>
          <w:lang w:eastAsia="zh-CN"/>
        </w:rPr>
        <w:t>）</w:t>
      </w:r>
      <w:r>
        <w:rPr>
          <w:rFonts w:hint="eastAsia" w:ascii="仿宋" w:hAnsi="仿宋" w:eastAsia="仿宋" w:cs="仿宋"/>
          <w:i w:val="0"/>
          <w:iCs w:val="0"/>
          <w:caps w:val="0"/>
          <w:color w:val="000000"/>
          <w:spacing w:val="0"/>
          <w:sz w:val="32"/>
          <w:szCs w:val="32"/>
          <w:shd w:val="clear" w:fill="FFFFFF"/>
        </w:rPr>
        <w:t>的低保边缘家庭成员、农村易返贫致贫人口。</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（二）加强部门间信息共享。通过部门间人员信息共享、核查比对，协同做好风险研判和处置工作。加强对监测人群的动态管理，及时将符合条件的困难群众纳入救助范围。</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三）依申请落实医疗救助政策。全面建立依申请救助机制，畅通低保边缘家庭成员、农村易返贫致贫人口、因病致贫重病患者医疗救助申请渠道，强化医疗救助、临时救助、慈善救助等综合保障措施，精准实施分层分类帮扶。</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六、规范经办管理服务</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已认定为特困人员、低保对象、返贫致贫人口的，直接获得医疗救助。经基层首诊转诊的特困人员、低保对象、返贫致贫人口在市域内定点医疗机构住院，实行“先诊疗后付费”，全面免除其住院押金，并实行“一单制”结算。对依申请救助的低保边缘家庭成员、农村易致贫返贫人口、因病致贫重病患者，可向其困难身份认定地所在的乡镇（街道）社会救助服务窗口提出书面申请，经县级医保部门审核后，对符合条件的困难群众按规定给予救助。</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w:t>
      </w:r>
      <w:r>
        <w:rPr>
          <w:rStyle w:val="10"/>
          <w:rFonts w:hint="eastAsia" w:ascii="仿宋" w:hAnsi="仿宋" w:eastAsia="仿宋" w:cs="仿宋"/>
          <w:i w:val="0"/>
          <w:iCs w:val="0"/>
          <w:caps w:val="0"/>
          <w:color w:val="000000"/>
          <w:spacing w:val="0"/>
          <w:sz w:val="32"/>
          <w:szCs w:val="32"/>
          <w:shd w:val="clear" w:fill="FFFFFF"/>
        </w:rPr>
        <w:t>七、积极引导社会力量参与救助保障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80" w:lineRule="exact"/>
        <w:ind w:left="0" w:right="0" w:firstLine="0"/>
        <w:textAlignment w:val="top"/>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shd w:val="clear" w:fill="FFFFFF"/>
        </w:rPr>
        <w:t>　　《实施意见》明确支持社会力量参与救助保障。一是发展壮大慈善救助。鼓励慈善组织和其他社会组织设立大病救助项目，发挥补充救助作用。支持医疗救助领域社会工作服务和志愿服务发展，丰富救助服务内容。二是鼓励医疗互助和商业健康保险发展。支持开展职工医疗互助，规范互联网平台互助，加强风险管控，引导医疗互助健康发展。支持商业健康保险发展，满足基本医疗保障以外的保障需求。鼓励商业保险机构加强产品创新，在产品定价、赔付条件、保障范围等方面对困难群众适当倾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overflowPunct/>
        <w:topLinePunct w:val="0"/>
        <w:autoSpaceDE/>
        <w:autoSpaceDN/>
        <w:bidi w:val="0"/>
        <w:adjustRightInd/>
        <w:snapToGrid/>
        <w:spacing w:beforeAutospacing="0" w:after="0" w:afterAutospacing="0" w:line="680" w:lineRule="exact"/>
        <w:ind w:left="0" w:right="0"/>
        <w:jc w:val="left"/>
        <w:textAlignment w:val="top"/>
        <w:rPr>
          <w:rFonts w:hint="eastAsia" w:ascii="仿宋" w:hAnsi="仿宋" w:eastAsia="仿宋" w:cs="仿宋"/>
          <w:color w:val="000000"/>
          <w:sz w:val="32"/>
          <w:szCs w:val="32"/>
        </w:rPr>
      </w:pPr>
    </w:p>
    <w:p>
      <w:pPr>
        <w:keepNext w:val="0"/>
        <w:keepLines w:val="0"/>
        <w:pageBreakBefore w:val="0"/>
        <w:shd w:val="clear"/>
        <w:kinsoku/>
        <w:overflowPunct/>
        <w:topLinePunct w:val="0"/>
        <w:autoSpaceDE/>
        <w:autoSpaceDN/>
        <w:bidi w:val="0"/>
        <w:adjustRightInd/>
        <w:snapToGrid/>
        <w:spacing w:line="680" w:lineRule="exact"/>
        <w:rPr>
          <w:rFonts w:hint="eastAsia" w:ascii="仿宋" w:hAnsi="仿宋" w:eastAsia="仿宋" w:cs="仿宋"/>
          <w:sz w:val="32"/>
          <w:szCs w:val="32"/>
        </w:rPr>
      </w:pPr>
      <w:bookmarkStart w:id="0" w:name="_GoBack"/>
      <w:bookmarkEnd w:id="0"/>
    </w:p>
    <w:sectPr>
      <w:footerReference r:id="rId3" w:type="default"/>
      <w:pgSz w:w="11906" w:h="16838"/>
      <w:pgMar w:top="2007" w:right="1531" w:bottom="873"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5D38A0"/>
    <w:rsid w:val="3EB162C8"/>
    <w:rsid w:val="76654250"/>
    <w:rsid w:val="7B5D3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4">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3012</Words>
  <Characters>3085</Characters>
  <Lines>0</Lines>
  <Paragraphs>0</Paragraphs>
  <TotalTime>17</TotalTime>
  <ScaleCrop>false</ScaleCrop>
  <LinksUpToDate>false</LinksUpToDate>
  <CharactersWithSpaces>3133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2022-04-20T07:55:00Z</dcterms:created>
  <dc:creator>。</dc:creator>
  <cp:lastModifiedBy>。</cp:lastModifiedBy>
  <dcterms:modified xsi:type="dcterms:W3CDTF">2022-04-26T07:15:08Z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BD4856E4A99D40E5A3AB92493596102C</vt:lpwstr>
  </property>
</Properties>
</file>