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>
      <w:pPr>
        <w:jc w:val="center"/>
        <w:rPr>
          <w:rFonts w:hint="default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2023年对在线旅游经营者的随机抽查情况公示</w:t>
      </w:r>
    </w:p>
    <w:p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ind w:firstLine="440" w:firstLineChars="1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>2023年无</w:t>
      </w:r>
      <w:r>
        <w:rPr>
          <w:rFonts w:hint="eastAsia"/>
          <w:sz w:val="44"/>
          <w:szCs w:val="44"/>
          <w:lang w:eastAsia="zh-CN"/>
        </w:rPr>
        <w:t>对在线旅游经营者违规</w:t>
      </w:r>
      <w:r>
        <w:rPr>
          <w:rFonts w:hint="eastAsia"/>
          <w:sz w:val="44"/>
          <w:szCs w:val="44"/>
        </w:rPr>
        <w:t>行为的行政处罚。</w:t>
      </w: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16A10542"/>
    <w:rsid w:val="46A10E29"/>
    <w:rsid w:val="5106650C"/>
    <w:rsid w:val="60B1466E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Administrator</cp:lastModifiedBy>
  <dcterms:modified xsi:type="dcterms:W3CDTF">2024-01-16T08:18:07Z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D7084EE21A5D4D4DBE65C19995357BFA_12</vt:lpwstr>
  </property>
</Properties>
</file>